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Lesson plan (#    )</w:t>
      </w:r>
    </w:p>
    <w:tbl>
      <w:tblPr>
        <w:tblStyle w:val="Table1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05"/>
        <w:gridCol w:w="4500"/>
        <w:gridCol w:w="4068"/>
        <w:tblGridChange w:id="0">
          <w:tblGrid>
            <w:gridCol w:w="5305"/>
            <w:gridCol w:w="4500"/>
            <w:gridCol w:w="40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Adopted from: 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Authors: (Your sub group’s name here)</w:t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Dan, Ken, Randa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Grade: 9-12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Lesson duration: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Topic/Title of lesson: </w:t>
            </w:r>
          </w:p>
        </w:tc>
      </w:tr>
    </w:tbl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03"/>
        <w:gridCol w:w="9276"/>
        <w:tblGridChange w:id="0">
          <w:tblGrid>
            <w:gridCol w:w="4603"/>
            <w:gridCol w:w="9276"/>
          </w:tblGrid>
        </w:tblGridChange>
      </w:tblGrid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STANDARD(s) ADDRESSED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(Include the performance expectation number and text of each standard.)</w:t>
            </w:r>
            <w:r w:rsidDel="00000000" w:rsidR="00000000" w:rsidRPr="00000000">
              <w:rPr>
                <w:rFonts w:ascii="Arial" w:cs="Arial" w:eastAsia="Arial" w:hAnsi="Arial"/>
                <w:strike w:val="1"/>
                <w:sz w:val="20"/>
                <w:szCs w:val="20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Computing Systems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highlight w:val="green"/>
                <w:rtl w:val="0"/>
              </w:rPr>
              <w:t xml:space="preserve">CS PRACTICE(s)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  <w:highlight w:val="green"/>
                <w:rtl w:val="0"/>
              </w:rPr>
              <w:t xml:space="preserve">that students will engage in throughout the lesson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2"/>
                <w:szCs w:val="22"/>
                <w:highlight w:val="green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13-15 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of NJSLS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8.1.12.CS.3 Compare the functions of application software, system software, and hardware.</w:t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CS CORE IDEA(s) or 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2"/>
                <w:szCs w:val="22"/>
                <w:highlight w:val="green"/>
                <w:rtl w:val="0"/>
              </w:rPr>
              <w:t xml:space="preserve">SUB-CONCEPT(s)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222222"/>
                <w:sz w:val="22"/>
                <w:szCs w:val="22"/>
                <w:highlight w:val="green"/>
                <w:rtl w:val="0"/>
              </w:rPr>
              <w:t xml:space="preserve">related to the performance expectation(s).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2"/>
                <w:szCs w:val="22"/>
                <w:highlight w:val="gree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P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highlight w:val="green"/>
                  <w:u w:val="single"/>
                  <w:rtl w:val="0"/>
                </w:rPr>
                <w:t xml:space="preserve">20-34,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highlight w:val="green"/>
                <w:rtl w:val="0"/>
              </w:rPr>
              <w:t xml:space="preserve"> includes core idea and performance expectations which are useful for designing general goals, specific objectives, and learning criteria down below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 Computing system involves interaction among the user, hard war, application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CENTRAL FOCUS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(The central focus is an overarching goal of the lesson or big idea for student learning.)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Students should be able to evaluate different software applications with a similar purpose.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EU/EQ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The enduring understanding(s) and/or essential question(s) that guide the lesson.)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  <w:rtl w:val="0"/>
              </w:rPr>
              <w:t xml:space="preserve">Here are some useful examples from math: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i w:val="1"/>
                  <w:color w:val="1155cc"/>
                  <w:sz w:val="22"/>
                  <w:szCs w:val="22"/>
                  <w:u w:val="single"/>
                  <w:rtl w:val="0"/>
                </w:rPr>
                <w:t xml:space="preserve">https://jaymctighe.com/downloads/Essential-Questions-in-Mathematics.pdf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PRIOR KNOWLEDGE AND CONCEPTIONS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prior knowledge, skills and/or academic language do these students need to have that will help them be successful with this lesson? Any misconceptions you may anticipate?)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i w:val="1"/>
                <w:color w:val="ff0000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Students should have an understanding of application and how they are used.</w:t>
            </w:r>
          </w:p>
        </w:tc>
      </w:tr>
    </w:tbl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UDL/PLANNED SUPPORT</w:t>
      </w:r>
    </w:p>
    <w:p w:rsidR="00000000" w:rsidDel="00000000" w:rsidP="00000000" w:rsidRDefault="00000000" w:rsidRPr="00000000" w14:paraId="00000028">
      <w:pPr>
        <w:ind w:right="1350"/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(Discuss the universally designed decisions guided by learner diversity and/or individualized adaptations for the variety of learners in your class/group who may require different strategies/support (e.g., children with IEPs or 504 plans, English language learners, children at different points in the developmental continuum, struggling readers, and/or gifted children).</w:t>
      </w:r>
    </w:p>
    <w:tbl>
      <w:tblPr>
        <w:tblStyle w:val="Table3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3420"/>
        <w:gridCol w:w="3420"/>
        <w:gridCol w:w="3420"/>
        <w:tblGridChange w:id="0">
          <w:tblGrid>
            <w:gridCol w:w="3613"/>
            <w:gridCol w:w="3420"/>
            <w:gridCol w:w="3420"/>
            <w:gridCol w:w="3420"/>
          </w:tblGrid>
        </w:tblGridChange>
      </w:tblGrid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UDL: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are you universally designing your lesson with all your learners in mind? What other characteristics of diverse learners should be considered?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representation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action and expression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Multiple Means of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2"/>
                  <w:szCs w:val="22"/>
                  <w:u w:val="single"/>
                  <w:rtl w:val="0"/>
                </w:rPr>
                <w:t xml:space="preserve">engagement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Additional ADAPTATIONS, MODIFICATIONS, and SUPPORTS for individual learners (IEPs, 504s, ELLs)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If you were not able to meet your focus learners needs through UDL, what individual adaptations will you use to meet your focus learners needs (especially ELLS)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13"/>
        <w:gridCol w:w="4950"/>
        <w:gridCol w:w="5310"/>
        <w:tblGridChange w:id="0">
          <w:tblGrid>
            <w:gridCol w:w="3613"/>
            <w:gridCol w:w="4950"/>
            <w:gridCol w:w="5310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ACADEMIC VOCABULARY/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LANGUAGE (including different coding languages)/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SYNTAX (rules of how to combine symbols to make “correct” statements)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Vocabulary: operating software, application software web-based software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Language: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Syntax: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2"/>
                <w:szCs w:val="22"/>
                <w:rtl w:val="0"/>
              </w:rPr>
              <w:t xml:space="preserve">Describe the additional supports for each language demand in this lesson. Address both the whole class and individual needs.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LEARNING OBJECTIVES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CRITERIA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(How will you know that students have met and/or are moving toward meeting that LO?)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ASSESSMENT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(What will be the pre assessment, formative, or summative assessment(s) in this lesson?)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rtl w:val="0"/>
              </w:rPr>
              <w:t xml:space="preserve">Should include both core ideas and concepts, and practices 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Students will be able to define and list common application software and its uses in their own words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Students will be able to categorize application software, system software, and mobile application software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  <w:rtl w:val="0"/>
              </w:rPr>
              <w:t xml:space="preserve">Students will be able to compare specific mobile application software, their installation, interfaces, usability, and functions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MATERIALS, RESOURCES, and INSTRUCTIONAL TECHNOLOGY</w:t>
      </w:r>
    </w:p>
    <w:tbl>
      <w:tblPr>
        <w:tblStyle w:val="Table5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7398"/>
        <w:tblGridChange w:id="0">
          <w:tblGrid>
            <w:gridCol w:w="6475"/>
            <w:gridCol w:w="7398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resources and technology do you need to teach the lesson: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What materials, technology will students need?</w:t>
            </w:r>
          </w:p>
        </w:tc>
      </w:tr>
      <w:tr>
        <w:trPr>
          <w:cantSplit w:val="0"/>
          <w:trHeight w:val="53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2"/>
                <w:szCs w:val="22"/>
                <w:highlight w:val="green"/>
                <w:rtl w:val="0"/>
              </w:rPr>
              <w:t xml:space="preserve">Should reflect the UDL planned supports identified above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INSTRUCTIONAL STRATEGIES AND LEARNING ACTIVITIES</w:t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(Describe explicitly what the teacher and the students will do to meet learning outcomes. Use bulleted or numbered list)</w:t>
      </w:r>
    </w:p>
    <w:tbl>
      <w:tblPr>
        <w:tblStyle w:val="Table6"/>
        <w:tblW w:w="138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5"/>
        <w:gridCol w:w="5208"/>
        <w:gridCol w:w="6150"/>
        <w:tblGridChange w:id="0">
          <w:tblGrid>
            <w:gridCol w:w="2515"/>
            <w:gridCol w:w="5208"/>
            <w:gridCol w:w="61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is the teacher doing?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What are students doing? (including adaptations)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LAUNCH/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Beginning (       mins)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you engage students and capture their interest?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Do now - generate a list of different apps</w:t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talk about application software in a padlet or mentimeter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LEARNING ACTIVITIES/</w:t>
            </w:r>
          </w:p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highlight w:val="green"/>
                <w:rtl w:val="0"/>
              </w:rPr>
              <w:t xml:space="preserve">Middle (       mins)</w:t>
            </w:r>
          </w:p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highlight w:val="green"/>
                <w:rtl w:val="0"/>
              </w:rPr>
              <w:t xml:space="preserve">“I do” “We do” “You do” How will you explain/ demonstrate knowledge /skills required of each objective? How will you ensure that students have multiple opportunities to practice? How will you address the academic language demands?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  <w:u w:val="none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Students will complete a table that lists applications and their specific purposes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  <w:u w:val="none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Class discussion on the different pieces of application software</w:t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2"/>
              </w:numPr>
              <w:ind w:left="1440" w:hanging="360"/>
              <w:rPr>
                <w:rFonts w:ascii="Arial" w:cs="Arial" w:eastAsia="Arial" w:hAnsi="Arial"/>
                <w:color w:val="212529"/>
                <w:sz w:val="22"/>
                <w:szCs w:val="22"/>
                <w:u w:val="none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UserInterface, Security, Scalability, Performance, Access, Customer Support.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color w:val="212529"/>
                <w:sz w:val="22"/>
                <w:szCs w:val="22"/>
                <w:u w:val="none"/>
                <w:shd w:fill="f8f9fa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212529"/>
                <w:sz w:val="22"/>
                <w:szCs w:val="22"/>
                <w:shd w:fill="f8f9fa" w:val="clear"/>
                <w:rtl w:val="0"/>
              </w:rPr>
              <w:t xml:space="preserve">Students will choose a mobile application team to research: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212529"/>
                <w:sz w:val="22"/>
                <w:szCs w:val="22"/>
                <w:shd w:fill="f8f9fa" w:val="clear"/>
                <w:rtl w:val="0"/>
              </w:rPr>
              <w:t xml:space="preserve">Tiktok, Snapchat, Instagram, Capcut, Canva, Whatsapp, Facebook, Uber, </w:t>
            </w:r>
          </w:p>
          <w:p w:rsidR="00000000" w:rsidDel="00000000" w:rsidP="00000000" w:rsidRDefault="00000000" w:rsidRPr="00000000" w14:paraId="00000080">
            <w:pPr>
              <w:ind w:left="1440" w:firstLine="0"/>
              <w:rPr>
                <w:rFonts w:ascii="Arial" w:cs="Arial" w:eastAsia="Arial" w:hAnsi="Arial"/>
                <w:i w:val="1"/>
                <w:color w:val="212529"/>
                <w:sz w:val="22"/>
                <w:szCs w:val="22"/>
                <w:shd w:fill="f8f9fa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hd w:fill="f8f9fa" w:val="clear"/>
              <w:spacing w:after="240" w:lineRule="auto"/>
              <w:rPr>
                <w:rFonts w:ascii="Arial" w:cs="Arial" w:eastAsia="Arial" w:hAnsi="Arial"/>
                <w:b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CLOSURE/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End (       mins)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How will students summarize and state the significance of what they learned? 3-7 minutes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Extension/Reinforcement/Homework: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Family/Community Engagement—</w:t>
            </w:r>
          </w:p>
        </w:tc>
      </w:tr>
    </w:tbl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* Please attach copies of assessments and/or handouts to be used</w:t>
      </w:r>
    </w:p>
    <w:sectPr>
      <w:headerReference r:id="rId14" w:type="default"/>
      <w:headerReference r:id="rId15" w:type="even"/>
      <w:footerReference r:id="rId16" w:type="default"/>
      <w:footerReference r:id="rId17" w:type="first"/>
      <w:pgSz w:h="12240" w:w="15840" w:orient="landscape"/>
      <w:pgMar w:bottom="720" w:top="720" w:left="720" w:right="720" w:header="720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Updated 2/18/19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jc w:val="right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17000" y="3589500"/>
                        <a:ext cx="68580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c0c0c0"/>
                              <w:sz w:val="144"/>
                              <w:vertAlign w:val="baseline"/>
                            </w:rPr>
                            <w:t xml:space="preserve">SASE version approved 7 December 2016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24675" cy="447675"/>
              <wp:effectExtent b="0" l="0" r="0" t="0"/>
              <wp:wrapSquare wrapText="bothSides" distB="0" distT="0" distL="114300" distR="114300"/>
              <wp:docPr id="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2467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320"/>
        <w:tab w:val="right" w:leader="none" w:pos="8640"/>
      </w:tabs>
      <w:rPr>
        <w:color w:val="000000"/>
        <w:sz w:val="16"/>
        <w:szCs w:val="16"/>
      </w:rPr>
    </w:pPr>
    <w:r w:rsidDel="00000000" w:rsidR="00000000" w:rsidRPr="00000000">
      <w:rPr>
        <w:color w:val="000000"/>
        <w:sz w:val="16"/>
        <w:szCs w:val="16"/>
        <w:rtl w:val="0"/>
      </w:rPr>
      <w:t xml:space="preserve">Montclair K12 CS Education Grant 22-23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72E2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ediumGrid1-Accent21" w:customStyle="1">
    <w:name w:val="Medium Grid 1 - Accent 21"/>
    <w:basedOn w:val="Normal"/>
    <w:uiPriority w:val="34"/>
    <w:qFormat w:val="1"/>
    <w:rsid w:val="00AD6B0B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AD6B0B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6A1C"/>
  </w:style>
  <w:style w:type="paragraph" w:styleId="Footer">
    <w:name w:val="footer"/>
    <w:basedOn w:val="Normal"/>
    <w:link w:val="FooterChar"/>
    <w:uiPriority w:val="99"/>
    <w:unhideWhenUsed w:val="1"/>
    <w:rsid w:val="00226A1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6A1C"/>
  </w:style>
  <w:style w:type="paragraph" w:styleId="HeadingColA" w:customStyle="1">
    <w:name w:val="Heading ColA"/>
    <w:basedOn w:val="Normal"/>
    <w:qFormat w:val="1"/>
    <w:rsid w:val="001157A4"/>
    <w:rPr>
      <w:rFonts w:ascii="Arial" w:eastAsia="Times New Roman" w:hAnsi="Arial"/>
      <w:b w:val="1"/>
      <w:sz w:val="22"/>
      <w:szCs w:val="19"/>
    </w:rPr>
  </w:style>
  <w:style w:type="character" w:styleId="Hyperlink">
    <w:name w:val="Hyperlink"/>
    <w:basedOn w:val="DefaultParagraphFont"/>
    <w:rsid w:val="00DC1A16"/>
    <w:rPr>
      <w:color w:val="0000ff" w:themeColor="hyperlink"/>
      <w:u w:val="single"/>
    </w:rPr>
  </w:style>
  <w:style w:type="paragraph" w:styleId="BlockText">
    <w:name w:val="Block Text"/>
    <w:basedOn w:val="Normal"/>
    <w:rsid w:val="00B70AFE"/>
    <w:pPr>
      <w:tabs>
        <w:tab w:val="left" w:pos="2880"/>
      </w:tabs>
      <w:ind w:left="113" w:right="113"/>
      <w:jc w:val="center"/>
    </w:pPr>
    <w:rPr>
      <w:rFonts w:ascii="DINCond-Bold" w:eastAsia="Times New Roman" w:hAnsi="DINCond-Bold"/>
      <w:sz w:val="22"/>
    </w:rPr>
  </w:style>
  <w:style w:type="paragraph" w:styleId="Default" w:customStyle="1">
    <w:name w:val="Default"/>
    <w:rsid w:val="00B761A7"/>
    <w:pPr>
      <w:autoSpaceDE w:val="0"/>
      <w:autoSpaceDN w:val="0"/>
      <w:adjustRightInd w:val="0"/>
    </w:pPr>
    <w:rPr>
      <w:rFonts w:ascii="Arial" w:cs="Arial" w:hAnsi="Arial"/>
      <w:color w:val="000000"/>
    </w:rPr>
  </w:style>
  <w:style w:type="paragraph" w:styleId="ListParagraph">
    <w:name w:val="List Paragraph"/>
    <w:basedOn w:val="Normal"/>
    <w:rsid w:val="007D3F95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223A6"/>
    <w:pPr>
      <w:spacing w:after="100" w:afterAutospacing="1" w:before="100" w:beforeAutospacing="1"/>
    </w:pPr>
    <w:rPr>
      <w:rFonts w:ascii="Times New Roman" w:hAnsi="Times New Roman" w:eastAsiaTheme="minorEastAsia"/>
    </w:rPr>
  </w:style>
  <w:style w:type="character" w:styleId="CommentReference">
    <w:name w:val="annotation reference"/>
    <w:basedOn w:val="DefaultParagraphFont"/>
    <w:semiHidden w:val="1"/>
    <w:unhideWhenUsed w:val="1"/>
    <w:rsid w:val="00A223A6"/>
    <w:rPr>
      <w:sz w:val="16"/>
      <w:szCs w:val="16"/>
    </w:rPr>
  </w:style>
  <w:style w:type="paragraph" w:styleId="CommentText">
    <w:name w:val="annotation text"/>
    <w:basedOn w:val="Normal"/>
    <w:link w:val="CommentTextChar"/>
    <w:semiHidden w:val="1"/>
    <w:unhideWhenUsed w:val="1"/>
    <w:rsid w:val="00A223A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 w:val="1"/>
    <w:rsid w:val="00A223A6"/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A223A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A223A6"/>
    <w:rPr>
      <w:b w:val="1"/>
      <w:bCs w:val="1"/>
    </w:rPr>
  </w:style>
  <w:style w:type="paragraph" w:styleId="BalloonText">
    <w:name w:val="Balloon Text"/>
    <w:basedOn w:val="Normal"/>
    <w:link w:val="BalloonTextChar"/>
    <w:semiHidden w:val="1"/>
    <w:unhideWhenUsed w:val="1"/>
    <w:rsid w:val="00A223A6"/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A223A6"/>
    <w:rPr>
      <w:rFonts w:ascii="Times New Roman" w:hAnsi="Times New Roman"/>
      <w:sz w:val="18"/>
      <w:szCs w:val="18"/>
    </w:rPr>
  </w:style>
  <w:style w:type="paragraph" w:styleId="Revision">
    <w:name w:val="Revision"/>
    <w:hidden w:val="1"/>
    <w:semiHidden w:val="1"/>
    <w:rsid w:val="00B06B01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paragraph" w:styleId="m591214151718207577msolistparagraph" w:customStyle="1">
    <w:name w:val="m_591214151718207577msolistparagraph"/>
    <w:basedOn w:val="Normal"/>
    <w:rsid w:val="00444C1F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table" w:styleId="ae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dlguidelines.cast.org/representation" TargetMode="External"/><Relationship Id="rId10" Type="http://schemas.openxmlformats.org/officeDocument/2006/relationships/hyperlink" Target="https://jaymctighe.com/downloads/Essential-Questions-in-Mathematics.pdf" TargetMode="External"/><Relationship Id="rId13" Type="http://schemas.openxmlformats.org/officeDocument/2006/relationships/hyperlink" Target="https://udlguidelines.cast.org/engagement/?utm_source=castsite&amp;utm_medium=web&amp;utm_campaign=none&amp;utm_content=aboutudl" TargetMode="External"/><Relationship Id="rId12" Type="http://schemas.openxmlformats.org/officeDocument/2006/relationships/hyperlink" Target="https://udlguidelines.cast.org/action-expressio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j.gov/education/cccs/2020/2020%20NJSLS-CSDT.pdf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j.gov/education/cccs/2020/2020%20NJSLS-CSDT.pdf" TargetMode="External"/><Relationship Id="rId8" Type="http://schemas.openxmlformats.org/officeDocument/2006/relationships/hyperlink" Target="https://www.nj.gov/education/cccs/2020/2020%20NJSLS-CSDT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p8L5+OkLGI/7WruO6B43p7r1ww==">AMUW2mWeX7leF019bMMX0X5zipJhucNZb51ot3CfhtolF+LS1IR/KzWjI/38Oul6XT3j+2jRr1AL7IUPB7pFmVVqslGzB2eJ2PIV6bBkHnROAu0FVS6l2inFaYkJAZLh0/FQDo9UgemO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2023-01-04T16:51:00Z</dcterms:created>
  <dc:creator>Shin</dc:creator>
</cp:coreProperties>
</file>