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Elisabeth Hennion, Mary Silvestri, Selver Funda Perez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4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duration:45 minutes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Data Collection and Entry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8.1.5.DA.1 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Data analysis, entering data, editing text/cells.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Students will be able to enter and organize data in a spreadsheet.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will have previous experience and practice in Basic Google Sheets lessons.. (Lesson 1) which will have included introduction about spreadsheets. ( purpose, relevant vocabulary, basic data entry). 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9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Smartboard, ChromebookI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Computers/chromebooks.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will review vocabulary with the students, (data, column, row, spreadsheet, cell, cell address)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are engaged in a classroom discussion and volunteer to review vocab.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show required survey questions to the students on smart board (name, age, fx. favorite color, favorite food, favorite game)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model entering data on Google Sheets by surveying 2 students. Teacher will ask for a volunteer to survey the teacher.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ask students to enter the questions to their assigned google sheet in google classroom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walk around, guide students to interview three of their peers and scaffold as needed. </w:t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hd w:fill="f8f9fa" w:val="clear"/>
              <w:spacing w:after="0" w:afterAutospacing="0" w:lineRule="auto"/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One student can survey teacher and types data onto teacher’s keyboard for other students to view on the smartboard.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hd w:fill="f8f9fa" w:val="clear"/>
              <w:spacing w:after="0" w:afterAutospacing="0" w:lineRule="auto"/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Students will enter the survey questions in their assigned google sheet.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hd w:fill="f8f9fa" w:val="clear"/>
              <w:spacing w:after="240" w:lineRule="auto"/>
              <w:ind w:left="720" w:hanging="36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Students will survey three of their peers and enter data directly into their google sheet.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will ask student volunteers to present their data on the smart board.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will point out possible problems which arose during the lesson.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will explain the expectations of the next part of the lesson. </w:t>
            </w:r>
          </w:p>
        </w:tc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Volunteer students will share their collected data on the smart board.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Interview/survey someone in your household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Engagement—Share your data with members of your household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RQZQduZqfeFjh98rvDQuodfrnw==">AMUW2mUMFgNWvb98xeeVQCYyAKcSMwiVQgANzeplQ/Nw5eEiAG5BisOTsBgz5hMxDNrfyQ6+SSg7lmLRxleXyXiGsIbgaY64ALNYTGAptwjVp2Snh0+05sXsPEK8EyZRCj/3OR1bFkvv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