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C9" w:rsidRDefault="00DF0E2D" w:rsidP="00FA722A">
      <w:pPr>
        <w:widowControl/>
        <w:spacing w:before="120" w:after="120"/>
        <w:jc w:val="center"/>
        <w:rPr>
          <w:lang w:val="en-CA"/>
        </w:rPr>
      </w:pPr>
      <w:r>
        <w:rPr>
          <w:noProof/>
        </w:rPr>
        <w:drawing>
          <wp:inline distT="0" distB="0" distL="0" distR="0" wp14:anchorId="3D5FADFD" wp14:editId="1AA29842">
            <wp:extent cx="4905375" cy="685800"/>
            <wp:effectExtent l="19050" t="0" r="9525" b="0"/>
            <wp:docPr id="1" name="Picture 1" descr="PARE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Banner2"/>
                    <pic:cNvPicPr>
                      <a:picLocks noChangeAspect="1" noChangeArrowheads="1"/>
                    </pic:cNvPicPr>
                  </pic:nvPicPr>
                  <pic:blipFill>
                    <a:blip r:embed="rId9" cstate="print"/>
                    <a:srcRect/>
                    <a:stretch>
                      <a:fillRect/>
                    </a:stretch>
                  </pic:blipFill>
                  <pic:spPr bwMode="auto">
                    <a:xfrm>
                      <a:off x="0" y="0"/>
                      <a:ext cx="4905375" cy="685800"/>
                    </a:xfrm>
                    <a:prstGeom prst="rect">
                      <a:avLst/>
                    </a:prstGeom>
                    <a:noFill/>
                    <a:ln w="9525">
                      <a:noFill/>
                      <a:miter lim="800000"/>
                      <a:headEnd/>
                      <a:tailEnd/>
                    </a:ln>
                  </pic:spPr>
                </pic:pic>
              </a:graphicData>
            </a:graphic>
          </wp:inline>
        </w:drawing>
      </w:r>
    </w:p>
    <w:p w:rsidR="000E71C9" w:rsidRDefault="000E71C9" w:rsidP="00FA722A">
      <w:pPr>
        <w:widowControl/>
        <w:spacing w:before="120" w:after="120" w:line="287" w:lineRule="auto"/>
        <w:jc w:val="center"/>
        <w:rPr>
          <w:sz w:val="20"/>
          <w:szCs w:val="20"/>
        </w:rPr>
      </w:pPr>
      <w:proofErr w:type="gramStart"/>
      <w:r>
        <w:rPr>
          <w:sz w:val="20"/>
          <w:szCs w:val="20"/>
        </w:rPr>
        <w:t>A peer-reviewed electronic journal.</w:t>
      </w:r>
      <w:proofErr w:type="gramEnd"/>
    </w:p>
    <w:p w:rsidR="000E71C9" w:rsidRPr="008F24AC" w:rsidRDefault="000E71C9" w:rsidP="00FA722A">
      <w:pPr>
        <w:widowControl/>
        <w:spacing w:before="120" w:after="120"/>
        <w:rPr>
          <w:rFonts w:ascii="Garamond" w:hAnsi="Garamond" w:cs="Garamond"/>
          <w:sz w:val="20"/>
          <w:szCs w:val="20"/>
        </w:rPr>
      </w:pPr>
      <w:r w:rsidRPr="008F24AC">
        <w:rPr>
          <w:rFonts w:ascii="Garamond" w:hAnsi="Garamond" w:cs="Garamond"/>
          <w:sz w:val="20"/>
          <w:szCs w:val="20"/>
        </w:rPr>
        <w:t xml:space="preserve">Copyright is retained by the first or sole author, who grants right of first publication to the </w:t>
      </w:r>
      <w:bookmarkStart w:id="0" w:name="OLE_LINK5"/>
      <w:bookmarkStart w:id="1" w:name="OLE_LINK6"/>
      <w:r w:rsidRPr="008F24AC">
        <w:rPr>
          <w:rFonts w:ascii="Garamond" w:hAnsi="Garamond" w:cs="Garamond"/>
          <w:i/>
          <w:iCs/>
          <w:sz w:val="20"/>
          <w:szCs w:val="20"/>
        </w:rPr>
        <w:t>Practical Assessment, Research &amp; Evaluation</w:t>
      </w:r>
      <w:bookmarkEnd w:id="0"/>
      <w:bookmarkEnd w:id="1"/>
      <w:r w:rsidRPr="008F24AC">
        <w:rPr>
          <w:rFonts w:ascii="Garamond" w:hAnsi="Garamond" w:cs="Garamond"/>
          <w:i/>
          <w:iCs/>
          <w:sz w:val="20"/>
          <w:szCs w:val="20"/>
        </w:rPr>
        <w:t xml:space="preserve">. </w:t>
      </w:r>
      <w:r w:rsidRPr="008F24AC">
        <w:rPr>
          <w:rFonts w:ascii="Garamond" w:hAnsi="Garamond" w:cs="Garamond"/>
          <w:sz w:val="20"/>
          <w:szCs w:val="20"/>
        </w:rPr>
        <w:t>Permission is granted to distribute this article for nonprofit, educational purposes if it is copied in its entirety and the journal is credited.</w:t>
      </w:r>
      <w:r w:rsidR="00547E0A" w:rsidRPr="008F24AC">
        <w:rPr>
          <w:rFonts w:ascii="Garamond" w:hAnsi="Garamond" w:cs="Garamond"/>
          <w:sz w:val="20"/>
          <w:szCs w:val="20"/>
        </w:rPr>
        <w:t xml:space="preserve"> PARE has the right to aut</w:t>
      </w:r>
      <w:r w:rsidR="007754F6" w:rsidRPr="008F24AC">
        <w:rPr>
          <w:rFonts w:ascii="Garamond" w:hAnsi="Garamond" w:cs="Garamond"/>
          <w:sz w:val="20"/>
          <w:szCs w:val="20"/>
        </w:rPr>
        <w:t>horize third party reproduction</w:t>
      </w:r>
      <w:r w:rsidR="00547E0A" w:rsidRPr="008F24AC">
        <w:rPr>
          <w:rFonts w:ascii="Garamond" w:hAnsi="Garamond" w:cs="Garamond"/>
          <w:sz w:val="20"/>
          <w:szCs w:val="20"/>
        </w:rPr>
        <w:t xml:space="preserve"> of this article in print, electronic and database forms.</w:t>
      </w:r>
    </w:p>
    <w:p w:rsidR="000E71C9" w:rsidRPr="008F24AC" w:rsidRDefault="000E71C9" w:rsidP="00FA722A">
      <w:pPr>
        <w:widowControl/>
        <w:pBdr>
          <w:bottom w:val="thinThickSmallGap" w:sz="18" w:space="1" w:color="auto"/>
        </w:pBdr>
        <w:tabs>
          <w:tab w:val="clear" w:pos="6480"/>
          <w:tab w:val="clear" w:pos="7200"/>
          <w:tab w:val="clear" w:pos="7920"/>
          <w:tab w:val="clear" w:pos="8640"/>
          <w:tab w:val="right" w:pos="10800"/>
        </w:tabs>
        <w:spacing w:before="120" w:after="120"/>
        <w:jc w:val="left"/>
        <w:rPr>
          <w:rFonts w:ascii="Garamond" w:hAnsi="Garamond" w:cs="Century Schoolbook"/>
          <w:sz w:val="20"/>
          <w:szCs w:val="20"/>
        </w:rPr>
      </w:pPr>
      <w:r w:rsidRPr="008F24AC">
        <w:rPr>
          <w:rFonts w:ascii="Garamond" w:hAnsi="Garamond" w:cs="Century Schoolbook"/>
          <w:sz w:val="20"/>
          <w:szCs w:val="20"/>
        </w:rPr>
        <w:t>Volume 1</w:t>
      </w:r>
      <w:r w:rsidR="0014003A" w:rsidRPr="008F24AC">
        <w:rPr>
          <w:rFonts w:ascii="Garamond" w:hAnsi="Garamond" w:cs="Century Schoolbook"/>
          <w:sz w:val="20"/>
          <w:szCs w:val="20"/>
        </w:rPr>
        <w:t>8</w:t>
      </w:r>
      <w:r w:rsidRPr="008F24AC">
        <w:rPr>
          <w:rFonts w:ascii="Garamond" w:hAnsi="Garamond" w:cs="Century Schoolbook"/>
          <w:sz w:val="20"/>
          <w:szCs w:val="20"/>
        </w:rPr>
        <w:t>, Number</w:t>
      </w:r>
      <w:r w:rsidR="00CF5AAF" w:rsidRPr="008F24AC">
        <w:rPr>
          <w:rFonts w:ascii="Garamond" w:hAnsi="Garamond" w:cs="Century Schoolbook"/>
          <w:sz w:val="20"/>
          <w:szCs w:val="20"/>
        </w:rPr>
        <w:t xml:space="preserve"> </w:t>
      </w:r>
      <w:r w:rsidR="00CC05EB">
        <w:rPr>
          <w:rFonts w:ascii="Garamond" w:hAnsi="Garamond" w:cs="Century Schoolbook"/>
          <w:sz w:val="20"/>
          <w:szCs w:val="20"/>
        </w:rPr>
        <w:t>4</w:t>
      </w:r>
      <w:r w:rsidR="003F21D4" w:rsidRPr="008F24AC">
        <w:rPr>
          <w:rFonts w:ascii="Garamond" w:hAnsi="Garamond" w:cs="Century Schoolbook"/>
          <w:sz w:val="20"/>
          <w:szCs w:val="20"/>
        </w:rPr>
        <w:t>a</w:t>
      </w:r>
      <w:r w:rsidRPr="008F24AC">
        <w:rPr>
          <w:rFonts w:ascii="Garamond" w:hAnsi="Garamond" w:cs="Century Schoolbook"/>
          <w:sz w:val="20"/>
          <w:szCs w:val="20"/>
        </w:rPr>
        <w:t xml:space="preserve">, </w:t>
      </w:r>
      <w:r w:rsidR="0014003A" w:rsidRPr="008F24AC">
        <w:rPr>
          <w:rFonts w:ascii="Garamond" w:hAnsi="Garamond" w:cs="Century Schoolbook"/>
          <w:sz w:val="20"/>
          <w:szCs w:val="20"/>
        </w:rPr>
        <w:t>February 2013</w:t>
      </w:r>
      <w:r w:rsidR="0002480E" w:rsidRPr="008F24AC">
        <w:rPr>
          <w:rFonts w:ascii="Garamond" w:hAnsi="Garamond" w:cs="Century Schoolbook"/>
          <w:sz w:val="20"/>
          <w:szCs w:val="20"/>
        </w:rPr>
        <w:t xml:space="preserve"> </w:t>
      </w:r>
      <w:r w:rsidR="00F103A2" w:rsidRPr="008F24AC">
        <w:rPr>
          <w:rFonts w:ascii="Garamond" w:hAnsi="Garamond" w:cs="Century Schoolbook"/>
          <w:sz w:val="20"/>
          <w:szCs w:val="20"/>
        </w:rPr>
        <w:tab/>
      </w:r>
      <w:r w:rsidR="00F103A2" w:rsidRPr="008F24AC">
        <w:rPr>
          <w:rFonts w:ascii="Garamond" w:hAnsi="Garamond" w:cs="Century Schoolbook"/>
          <w:sz w:val="20"/>
          <w:szCs w:val="20"/>
        </w:rPr>
        <w:tab/>
      </w:r>
      <w:r w:rsidR="00F103A2" w:rsidRPr="008F24AC">
        <w:rPr>
          <w:rFonts w:ascii="Garamond" w:hAnsi="Garamond" w:cs="Century Schoolbook"/>
          <w:sz w:val="20"/>
          <w:szCs w:val="20"/>
        </w:rPr>
        <w:tab/>
      </w:r>
      <w:r w:rsidR="008F24AC">
        <w:rPr>
          <w:rFonts w:ascii="Garamond" w:hAnsi="Garamond" w:cs="Century Schoolbook"/>
          <w:sz w:val="20"/>
          <w:szCs w:val="20"/>
        </w:rPr>
        <w:tab/>
      </w:r>
      <w:r w:rsidR="00F103A2" w:rsidRPr="008F24AC">
        <w:rPr>
          <w:rFonts w:ascii="Garamond" w:hAnsi="Garamond" w:cs="Century Schoolbook"/>
          <w:sz w:val="20"/>
          <w:szCs w:val="20"/>
        </w:rPr>
        <w:tab/>
      </w:r>
      <w:r w:rsidRPr="008F24AC">
        <w:rPr>
          <w:rFonts w:ascii="Garamond" w:hAnsi="Garamond" w:cs="Century Schoolbook"/>
          <w:sz w:val="20"/>
          <w:szCs w:val="20"/>
        </w:rPr>
        <w:t xml:space="preserve">ISSN 1531-7714 </w:t>
      </w:r>
    </w:p>
    <w:p w:rsidR="000E71C9" w:rsidRDefault="000E71C9" w:rsidP="00FA722A">
      <w:pPr>
        <w:widowControl/>
        <w:jc w:val="center"/>
        <w:rPr>
          <w:rFonts w:ascii="Garamond" w:hAnsi="Garamond"/>
          <w:b/>
          <w:color w:val="0000FF"/>
          <w:sz w:val="36"/>
          <w:szCs w:val="36"/>
        </w:rPr>
      </w:pPr>
    </w:p>
    <w:p w:rsidR="00581E5A" w:rsidRDefault="00581E5A" w:rsidP="00581E5A">
      <w:pPr>
        <w:widowControl/>
        <w:spacing w:after="240"/>
        <w:jc w:val="center"/>
        <w:rPr>
          <w:rFonts w:ascii="Garamond" w:hAnsi="Garamond"/>
          <w:b/>
          <w:bCs/>
          <w:color w:val="0000FF"/>
          <w:sz w:val="36"/>
          <w:szCs w:val="36"/>
        </w:rPr>
      </w:pPr>
      <w:r w:rsidRPr="00581E5A">
        <w:rPr>
          <w:rFonts w:ascii="Garamond" w:hAnsi="Garamond"/>
          <w:b/>
          <w:bCs/>
          <w:color w:val="0000FF"/>
          <w:sz w:val="36"/>
          <w:szCs w:val="36"/>
        </w:rPr>
        <w:t xml:space="preserve">Classroom Test Construction: The Power of a </w:t>
      </w:r>
      <w:r>
        <w:rPr>
          <w:rFonts w:ascii="Garamond" w:hAnsi="Garamond"/>
          <w:b/>
          <w:bCs/>
          <w:color w:val="0000FF"/>
          <w:sz w:val="36"/>
          <w:szCs w:val="36"/>
        </w:rPr>
        <w:br w:type="textWrapping" w:clear="all"/>
      </w:r>
      <w:r w:rsidRPr="00581E5A">
        <w:rPr>
          <w:rFonts w:ascii="Garamond" w:hAnsi="Garamond"/>
          <w:b/>
          <w:bCs/>
          <w:color w:val="0000FF"/>
          <w:sz w:val="36"/>
          <w:szCs w:val="36"/>
        </w:rPr>
        <w:t>Table of Specifications</w:t>
      </w:r>
    </w:p>
    <w:p w:rsidR="00581E5A" w:rsidRPr="00581E5A" w:rsidRDefault="00581E5A" w:rsidP="00581E5A">
      <w:pPr>
        <w:widowControl/>
        <w:jc w:val="center"/>
        <w:rPr>
          <w:rFonts w:ascii="Garamond" w:hAnsi="Garamond"/>
        </w:rPr>
      </w:pPr>
      <w:r w:rsidRPr="00581E5A">
        <w:rPr>
          <w:rFonts w:ascii="Garamond" w:hAnsi="Garamond"/>
          <w:b/>
          <w:bCs/>
          <w:color w:val="0000FF"/>
          <w:sz w:val="36"/>
          <w:szCs w:val="36"/>
        </w:rPr>
        <w:t xml:space="preserve"> </w:t>
      </w:r>
      <w:r w:rsidRPr="00581E5A">
        <w:rPr>
          <w:rFonts w:ascii="Garamond" w:hAnsi="Garamond"/>
        </w:rPr>
        <w:t xml:space="preserve">Helenrose Fives </w:t>
      </w:r>
      <w:r>
        <w:rPr>
          <w:rFonts w:ascii="Garamond" w:hAnsi="Garamond"/>
        </w:rPr>
        <w:t>&amp;</w:t>
      </w:r>
      <w:r w:rsidRPr="00581E5A">
        <w:rPr>
          <w:rFonts w:ascii="Garamond" w:hAnsi="Garamond"/>
        </w:rPr>
        <w:t xml:space="preserve"> Nicole </w:t>
      </w:r>
      <w:proofErr w:type="spellStart"/>
      <w:r w:rsidRPr="00581E5A">
        <w:rPr>
          <w:rFonts w:ascii="Garamond" w:hAnsi="Garamond"/>
        </w:rPr>
        <w:t>DiDonato</w:t>
      </w:r>
      <w:proofErr w:type="spellEnd"/>
      <w:r w:rsidRPr="00581E5A">
        <w:rPr>
          <w:rFonts w:ascii="Garamond" w:hAnsi="Garamond"/>
        </w:rPr>
        <w:t>-Barnes</w:t>
      </w:r>
    </w:p>
    <w:p w:rsidR="00AB54D0" w:rsidRPr="00581E5A" w:rsidRDefault="00581E5A" w:rsidP="00581E5A">
      <w:pPr>
        <w:widowControl/>
        <w:jc w:val="center"/>
        <w:rPr>
          <w:rFonts w:ascii="Garamond" w:hAnsi="Garamond"/>
          <w:i/>
        </w:rPr>
      </w:pPr>
      <w:r w:rsidRPr="00581E5A">
        <w:rPr>
          <w:rFonts w:ascii="Garamond" w:hAnsi="Garamond"/>
          <w:i/>
        </w:rPr>
        <w:t>Montclair State University</w:t>
      </w:r>
    </w:p>
    <w:p w:rsidR="00CF5AAF" w:rsidRPr="00DF5FDB" w:rsidRDefault="00CF5AAF" w:rsidP="00FA722A">
      <w:pPr>
        <w:widowControl/>
        <w:jc w:val="center"/>
        <w:rPr>
          <w:rFonts w:ascii="Garamond" w:hAnsi="Garamond" w:cs="Arial"/>
          <w:i/>
        </w:rPr>
      </w:pPr>
    </w:p>
    <w:tbl>
      <w:tblPr>
        <w:tblW w:w="0" w:type="auto"/>
        <w:jc w:val="center"/>
        <w:tblLook w:val="01E0" w:firstRow="1" w:lastRow="1" w:firstColumn="1" w:lastColumn="1" w:noHBand="0" w:noVBand="0"/>
      </w:tblPr>
      <w:tblGrid>
        <w:gridCol w:w="9566"/>
      </w:tblGrid>
      <w:tr w:rsidR="000E71C9" w:rsidRPr="00DF5FDB" w:rsidTr="008C3AC0">
        <w:trPr>
          <w:cantSplit/>
          <w:trHeight w:val="1152"/>
          <w:jc w:val="center"/>
        </w:trPr>
        <w:tc>
          <w:tcPr>
            <w:tcW w:w="9566" w:type="dxa"/>
          </w:tcPr>
          <w:p w:rsidR="000E71C9" w:rsidRPr="000D5FE8" w:rsidRDefault="00581E5A" w:rsidP="000D5FE8">
            <w:pPr>
              <w:spacing w:after="120"/>
              <w:ind w:left="120" w:right="39"/>
              <w:rPr>
                <w:rStyle w:val="Affix"/>
                <w:rFonts w:ascii="Garamond" w:eastAsia="Times New Roman" w:hAnsi="Garamond"/>
                <w:szCs w:val="24"/>
              </w:rPr>
            </w:pPr>
            <w:r w:rsidRPr="00581E5A">
              <w:rPr>
                <w:rFonts w:ascii="Garamond" w:eastAsia="Times New Roman" w:hAnsi="Garamond"/>
                <w:color w:val="000000"/>
              </w:rPr>
              <w:t xml:space="preserve">Classroom tests provide teachers with essential information used to make decisions about instruction and student grades. A table of specification (TOS) can be used to help teachers frame the decision making process of test construction and improve the validity of teachers’ evaluations based on tests constructed for classroom use. In this article we explain the purpose of a TOS and how to use it to help construct classroom tests.  </w:t>
            </w:r>
          </w:p>
        </w:tc>
      </w:tr>
    </w:tbl>
    <w:p w:rsidR="000E71C9" w:rsidRDefault="000E71C9" w:rsidP="00FA722A">
      <w:pPr>
        <w:pStyle w:val="aFirstParagraphLR"/>
      </w:pPr>
    </w:p>
    <w:p w:rsidR="000E71C9" w:rsidRDefault="000E71C9" w:rsidP="00581E5A">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jc w:val="center"/>
        <w:sectPr w:rsidR="000E71C9" w:rsidSect="007A3A99">
          <w:headerReference w:type="default" r:id="rId10"/>
          <w:pgSz w:w="12240" w:h="15840" w:code="1"/>
          <w:pgMar w:top="432" w:right="720" w:bottom="432" w:left="720" w:header="720" w:footer="1440" w:gutter="0"/>
          <w:cols w:space="432"/>
          <w:noEndnote/>
          <w:titlePg/>
          <w:docGrid w:linePitch="326"/>
        </w:sectPr>
      </w:pPr>
    </w:p>
    <w:p w:rsidR="00CC05EB" w:rsidRPr="008A7293" w:rsidRDefault="00CC05EB" w:rsidP="00581E5A">
      <w:pPr>
        <w:widowControl/>
        <w:spacing w:after="120"/>
        <w:rPr>
          <w:rFonts w:ascii="Garamond" w:hAnsi="Garamond"/>
          <w:i/>
        </w:rPr>
      </w:pPr>
      <w:r w:rsidRPr="008A7293">
        <w:rPr>
          <w:rFonts w:ascii="Garamond" w:hAnsi="Garamond"/>
          <w:i/>
        </w:rPr>
        <w:lastRenderedPageBreak/>
        <w:t>“But we only talked about Grover Cleveland for – like 2 seconds last week. Why would she put that on the exam?”</w:t>
      </w:r>
    </w:p>
    <w:p w:rsidR="00CC05EB" w:rsidRPr="008A7293" w:rsidRDefault="00CC05EB" w:rsidP="00581E5A">
      <w:pPr>
        <w:widowControl/>
        <w:spacing w:after="120"/>
        <w:rPr>
          <w:rFonts w:ascii="Garamond" w:hAnsi="Garamond"/>
          <w:i/>
        </w:rPr>
      </w:pPr>
      <w:r w:rsidRPr="008A7293">
        <w:rPr>
          <w:rFonts w:ascii="Garamond" w:hAnsi="Garamond"/>
          <w:i/>
        </w:rPr>
        <w:t>“You know how teachers are… they’re always trying to trick you.”</w:t>
      </w:r>
    </w:p>
    <w:p w:rsidR="00CC05EB" w:rsidRPr="008A7293" w:rsidRDefault="00CC05EB" w:rsidP="00581E5A">
      <w:pPr>
        <w:widowControl/>
        <w:spacing w:after="120"/>
        <w:rPr>
          <w:rFonts w:ascii="Garamond" w:hAnsi="Garamond"/>
          <w:i/>
        </w:rPr>
      </w:pPr>
      <w:r w:rsidRPr="008A7293">
        <w:rPr>
          <w:rFonts w:ascii="Garamond" w:hAnsi="Garamond"/>
          <w:i/>
        </w:rPr>
        <w:t>“Yeah, they find the most nit-picky little details to put on their tests and don’t even care if the information is important.”</w:t>
      </w:r>
    </w:p>
    <w:p w:rsidR="00CC05EB" w:rsidRPr="008A7293" w:rsidRDefault="00CC05EB" w:rsidP="00581E5A">
      <w:pPr>
        <w:widowControl/>
        <w:spacing w:after="120"/>
        <w:rPr>
          <w:rFonts w:ascii="Garamond" w:hAnsi="Garamond"/>
          <w:i/>
        </w:rPr>
      </w:pPr>
      <w:r w:rsidRPr="008A7293">
        <w:rPr>
          <w:rFonts w:ascii="Garamond" w:hAnsi="Garamond"/>
          <w:i/>
        </w:rPr>
        <w:t xml:space="preserve">“It’s just not fair. I studied everything we discussed in class about the Gilded Age and the things she made a big deal about, like comparing the industrialized north to the agriculture in the south. I really thought I understood what was going on – how the U.S. economy and way of life changed with industry, railroads, and unions. And to think all she asked was ‘What was the South’s economic base!’ Oh and ‘What were Grover Cleveland’s terms as president?’ </w:t>
      </w:r>
      <w:proofErr w:type="gramStart"/>
      <w:r w:rsidRPr="008A7293">
        <w:rPr>
          <w:rFonts w:ascii="Garamond" w:hAnsi="Garamond"/>
          <w:i/>
        </w:rPr>
        <w:t>Really?</w:t>
      </w:r>
      <w:proofErr w:type="gramEnd"/>
      <w:r w:rsidRPr="008A7293">
        <w:rPr>
          <w:rFonts w:ascii="Garamond" w:hAnsi="Garamond"/>
          <w:i/>
        </w:rPr>
        <w:t xml:space="preserve"> </w:t>
      </w:r>
      <w:proofErr w:type="spellStart"/>
      <w:proofErr w:type="gramStart"/>
      <w:r w:rsidRPr="008A7293">
        <w:rPr>
          <w:rFonts w:ascii="Garamond" w:hAnsi="Garamond"/>
          <w:i/>
        </w:rPr>
        <w:t>Grrr</w:t>
      </w:r>
      <w:proofErr w:type="spellEnd"/>
      <w:r w:rsidRPr="008A7293">
        <w:rPr>
          <w:rFonts w:ascii="Garamond" w:hAnsi="Garamond"/>
          <w:i/>
        </w:rPr>
        <w:t>.”</w:t>
      </w:r>
      <w:proofErr w:type="gramEnd"/>
    </w:p>
    <w:p w:rsidR="00CC05EB" w:rsidRPr="008A7293" w:rsidRDefault="00CC05EB" w:rsidP="00581E5A">
      <w:pPr>
        <w:widowControl/>
        <w:spacing w:after="120"/>
        <w:ind w:firstLine="432"/>
        <w:rPr>
          <w:rFonts w:ascii="Garamond" w:hAnsi="Garamond"/>
        </w:rPr>
      </w:pPr>
      <w:r w:rsidRPr="008A7293">
        <w:rPr>
          <w:rFonts w:ascii="Garamond" w:hAnsi="Garamond"/>
        </w:rPr>
        <w:t>As a student have you ever felt that the test you studied for was completely or partially unrelated to the class activities you experienced? As a teacher have you ever heard these complaints from students? This is not an uncommon experience in most classrooms. Frequently there is both a real and perceived mismatch between the content examined in class and the material assessed on an end of chapter/unit test. This lack of coherence leads to a test that fails to provide evidence from which teachers can make valid judgments about students’ progress (</w:t>
      </w:r>
      <w:proofErr w:type="spellStart"/>
      <w:r w:rsidRPr="008A7293">
        <w:rPr>
          <w:rFonts w:ascii="Garamond" w:eastAsia="Times New Roman" w:hAnsi="Garamond"/>
          <w:color w:val="000000"/>
        </w:rPr>
        <w:t>Brookhart</w:t>
      </w:r>
      <w:proofErr w:type="spellEnd"/>
      <w:r w:rsidRPr="008A7293">
        <w:rPr>
          <w:rFonts w:ascii="Garamond" w:eastAsia="Times New Roman" w:hAnsi="Garamond"/>
          <w:color w:val="000000"/>
        </w:rPr>
        <w:t>, 1999)</w:t>
      </w:r>
      <w:r w:rsidRPr="008A7293">
        <w:rPr>
          <w:rFonts w:ascii="Garamond" w:hAnsi="Garamond"/>
        </w:rPr>
        <w:t>. One strategy teachers can use to mitigate this problem is</w:t>
      </w:r>
      <w:r w:rsidR="007D4649">
        <w:rPr>
          <w:rFonts w:ascii="Garamond" w:hAnsi="Garamond"/>
        </w:rPr>
        <w:t xml:space="preserve"> to develop</w:t>
      </w:r>
      <w:r w:rsidRPr="008A7293">
        <w:rPr>
          <w:rFonts w:ascii="Garamond" w:hAnsi="Garamond"/>
        </w:rPr>
        <w:t xml:space="preserve"> a Table of Specifications (TOS).</w:t>
      </w:r>
    </w:p>
    <w:p w:rsidR="00CC05EB" w:rsidRPr="00581E5A" w:rsidRDefault="00CC05EB" w:rsidP="00581E5A">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jc w:val="center"/>
        <w:rPr>
          <w:rFonts w:ascii="Arial" w:hAnsi="Arial" w:cs="Arial"/>
          <w:b/>
          <w:bCs/>
          <w:color w:val="0000FF"/>
        </w:rPr>
      </w:pPr>
      <w:r w:rsidRPr="00581E5A">
        <w:rPr>
          <w:rFonts w:ascii="Arial" w:hAnsi="Arial" w:cs="Arial"/>
          <w:b/>
          <w:bCs/>
          <w:color w:val="0000FF"/>
        </w:rPr>
        <w:lastRenderedPageBreak/>
        <w:t>What is a Table of Specifications?</w:t>
      </w:r>
    </w:p>
    <w:p w:rsidR="00CC05EB" w:rsidRPr="008A7293" w:rsidRDefault="00CC05EB" w:rsidP="00581E5A">
      <w:pPr>
        <w:widowControl/>
        <w:spacing w:after="120"/>
        <w:ind w:firstLine="432"/>
        <w:rPr>
          <w:rFonts w:ascii="Garamond" w:hAnsi="Garamond"/>
        </w:rPr>
      </w:pPr>
      <w:r w:rsidRPr="008A7293">
        <w:rPr>
          <w:rFonts w:ascii="Garamond" w:hAnsi="Garamond"/>
        </w:rPr>
        <w:t xml:space="preserve">A TOS, sometimes called a test blueprint, is a table that helps teachers </w:t>
      </w:r>
      <w:r w:rsidRPr="008A7293">
        <w:rPr>
          <w:rFonts w:ascii="Garamond" w:eastAsia="Times New Roman" w:hAnsi="Garamond"/>
          <w:color w:val="000000"/>
        </w:rPr>
        <w:t xml:space="preserve">align objectives, instruction, and assessment </w:t>
      </w:r>
      <w:r w:rsidRPr="008A7293">
        <w:rPr>
          <w:rFonts w:ascii="Garamond" w:hAnsi="Garamond"/>
        </w:rPr>
        <w:t xml:space="preserve">(e.g., </w:t>
      </w:r>
      <w:proofErr w:type="spellStart"/>
      <w:r w:rsidRPr="008A7293">
        <w:rPr>
          <w:rFonts w:ascii="Garamond" w:hAnsi="Garamond"/>
        </w:rPr>
        <w:t>Notar</w:t>
      </w:r>
      <w:proofErr w:type="spellEnd"/>
      <w:r w:rsidR="00D426F0">
        <w:rPr>
          <w:rFonts w:ascii="Garamond" w:hAnsi="Garamond"/>
        </w:rPr>
        <w:t xml:space="preserve">, </w:t>
      </w:r>
      <w:proofErr w:type="spellStart"/>
      <w:r w:rsidR="00D426F0">
        <w:rPr>
          <w:rFonts w:ascii="Garamond" w:hAnsi="Garamond"/>
        </w:rPr>
        <w:t>Zuelke</w:t>
      </w:r>
      <w:proofErr w:type="spellEnd"/>
      <w:r w:rsidR="00D426F0">
        <w:rPr>
          <w:rFonts w:ascii="Garamond" w:hAnsi="Garamond"/>
        </w:rPr>
        <w:t xml:space="preserve">, Wilson, &amp; </w:t>
      </w:r>
      <w:proofErr w:type="spellStart"/>
      <w:r w:rsidR="00D426F0">
        <w:rPr>
          <w:rFonts w:ascii="Garamond" w:hAnsi="Garamond"/>
        </w:rPr>
        <w:t>Yunker</w:t>
      </w:r>
      <w:bookmarkStart w:id="2" w:name="_GoBack"/>
      <w:bookmarkEnd w:id="2"/>
      <w:proofErr w:type="spellEnd"/>
      <w:r w:rsidRPr="008A7293">
        <w:rPr>
          <w:rFonts w:ascii="Garamond" w:hAnsi="Garamond"/>
        </w:rPr>
        <w:t>, 2004)</w:t>
      </w:r>
      <w:r w:rsidRPr="008A7293">
        <w:rPr>
          <w:rFonts w:ascii="Garamond" w:eastAsia="Times New Roman" w:hAnsi="Garamond"/>
          <w:color w:val="000000"/>
        </w:rPr>
        <w:t xml:space="preserve">. </w:t>
      </w:r>
      <w:r w:rsidRPr="008A7293">
        <w:rPr>
          <w:rFonts w:ascii="Garamond" w:hAnsi="Garamond"/>
        </w:rPr>
        <w:t>This strategy can be used for a variety of assessment methods but is most commonly associated with constructing traditional summative tests. When constructing a test, teachers need to be concerned that the test measures an adequate sampling of the class content at the cognitive level that the material was taught. The TOS can help teachers map the amount of class time spent on each objective with the cognitive level at which each objective was taught thereby helping teachers to identify the types of items they need to include on their tests. There are many approaches to developing and using a TOS advocated by measurement experts (e.g., Anderson</w:t>
      </w:r>
      <w:r w:rsidR="00E90FE8">
        <w:rPr>
          <w:rFonts w:ascii="Garamond" w:hAnsi="Garamond"/>
        </w:rPr>
        <w:t xml:space="preserve">, </w:t>
      </w:r>
      <w:proofErr w:type="spellStart"/>
      <w:r w:rsidR="00E90FE8">
        <w:rPr>
          <w:rFonts w:ascii="Garamond" w:hAnsi="Garamond"/>
        </w:rPr>
        <w:t>Krathwohl</w:t>
      </w:r>
      <w:proofErr w:type="spellEnd"/>
      <w:r w:rsidR="00E90FE8">
        <w:rPr>
          <w:rFonts w:ascii="Garamond" w:hAnsi="Garamond"/>
        </w:rPr>
        <w:t xml:space="preserve">, </w:t>
      </w:r>
      <w:proofErr w:type="spellStart"/>
      <w:r w:rsidR="00E90FE8">
        <w:rPr>
          <w:rFonts w:ascii="Garamond" w:hAnsi="Garamond"/>
        </w:rPr>
        <w:t>Airasian</w:t>
      </w:r>
      <w:proofErr w:type="spellEnd"/>
      <w:r w:rsidR="00E90FE8">
        <w:rPr>
          <w:rFonts w:ascii="Garamond" w:hAnsi="Garamond"/>
        </w:rPr>
        <w:t xml:space="preserve">, Cruikshank, Mayer, </w:t>
      </w:r>
      <w:proofErr w:type="spellStart"/>
      <w:r w:rsidR="00E90FE8">
        <w:rPr>
          <w:rFonts w:ascii="Garamond" w:hAnsi="Garamond"/>
        </w:rPr>
        <w:t>Pintrich</w:t>
      </w:r>
      <w:proofErr w:type="spellEnd"/>
      <w:r w:rsidR="00E90FE8">
        <w:rPr>
          <w:rFonts w:ascii="Garamond" w:hAnsi="Garamond"/>
        </w:rPr>
        <w:t xml:space="preserve">, </w:t>
      </w:r>
      <w:proofErr w:type="spellStart"/>
      <w:r w:rsidR="00E90FE8">
        <w:rPr>
          <w:rFonts w:ascii="Garamond" w:hAnsi="Garamond"/>
        </w:rPr>
        <w:t>Raths</w:t>
      </w:r>
      <w:proofErr w:type="spellEnd"/>
      <w:r w:rsidR="00E90FE8">
        <w:rPr>
          <w:rFonts w:ascii="Garamond" w:hAnsi="Garamond"/>
        </w:rPr>
        <w:t xml:space="preserve">, &amp; </w:t>
      </w:r>
      <w:proofErr w:type="spellStart"/>
      <w:r w:rsidR="00E90FE8">
        <w:rPr>
          <w:rFonts w:ascii="Garamond" w:hAnsi="Garamond"/>
        </w:rPr>
        <w:t>Wittrock</w:t>
      </w:r>
      <w:proofErr w:type="spellEnd"/>
      <w:r w:rsidRPr="008A7293">
        <w:rPr>
          <w:rFonts w:ascii="Garamond" w:hAnsi="Garamond"/>
        </w:rPr>
        <w:t xml:space="preserve">, 2001, </w:t>
      </w:r>
      <w:proofErr w:type="spellStart"/>
      <w:r w:rsidRPr="008A7293">
        <w:rPr>
          <w:rFonts w:ascii="Garamond" w:hAnsi="Garamond"/>
        </w:rPr>
        <w:t>Gronlund</w:t>
      </w:r>
      <w:proofErr w:type="spellEnd"/>
      <w:r w:rsidRPr="008A7293">
        <w:rPr>
          <w:rFonts w:ascii="Garamond" w:hAnsi="Garamond"/>
        </w:rPr>
        <w:t xml:space="preserve">, 2006; Reynolds, Livingston, &amp; Wilson, 2006). </w:t>
      </w:r>
    </w:p>
    <w:p w:rsidR="00CC05EB" w:rsidRPr="008A7293" w:rsidRDefault="00CC05EB" w:rsidP="00581E5A">
      <w:pPr>
        <w:widowControl/>
        <w:spacing w:after="120"/>
        <w:ind w:firstLine="432"/>
        <w:rPr>
          <w:rFonts w:ascii="Garamond" w:hAnsi="Garamond"/>
        </w:rPr>
      </w:pPr>
      <w:r w:rsidRPr="008A7293">
        <w:rPr>
          <w:rFonts w:ascii="Garamond" w:hAnsi="Garamond"/>
        </w:rPr>
        <w:t xml:space="preserve">In this article, we describe one approach to using a TOS developed for practical classroom application.  Our approach to the TOS is intended to help classroom teachers develop summative assessments that are well aligned to the subject matter studied and the cognitive processes used during instruction.  However, for this strategy to be helpful in your teaching practice, you need to make it your own and </w:t>
      </w:r>
      <w:r w:rsidRPr="008A7293">
        <w:rPr>
          <w:rFonts w:ascii="Garamond" w:hAnsi="Garamond"/>
        </w:rPr>
        <w:lastRenderedPageBreak/>
        <w:t xml:space="preserve">consider how you can adapt the underlying strategy to your own instructional needs. There are different versions of these tables or blueprints (e.g., Linn &amp; </w:t>
      </w:r>
      <w:proofErr w:type="spellStart"/>
      <w:r w:rsidRPr="008A7293">
        <w:rPr>
          <w:rFonts w:ascii="Garamond" w:hAnsi="Garamond"/>
        </w:rPr>
        <w:t>Gronlund</w:t>
      </w:r>
      <w:proofErr w:type="spellEnd"/>
      <w:r w:rsidRPr="008A7293">
        <w:rPr>
          <w:rFonts w:ascii="Garamond" w:hAnsi="Garamond"/>
        </w:rPr>
        <w:t xml:space="preserve">, 2000; </w:t>
      </w:r>
      <w:proofErr w:type="spellStart"/>
      <w:r w:rsidRPr="008A7293">
        <w:rPr>
          <w:rFonts w:ascii="Garamond" w:hAnsi="Garamond"/>
        </w:rPr>
        <w:t>Mehrens</w:t>
      </w:r>
      <w:proofErr w:type="spellEnd"/>
      <w:r w:rsidRPr="008A7293">
        <w:rPr>
          <w:rFonts w:ascii="Garamond" w:hAnsi="Garamond"/>
        </w:rPr>
        <w:t xml:space="preserve"> &amp; Lehman, 1973; </w:t>
      </w:r>
      <w:proofErr w:type="spellStart"/>
      <w:r w:rsidRPr="008A7293">
        <w:rPr>
          <w:rFonts w:ascii="Garamond" w:hAnsi="Garamond"/>
        </w:rPr>
        <w:t>Nortar</w:t>
      </w:r>
      <w:proofErr w:type="spellEnd"/>
      <w:r w:rsidRPr="008A7293">
        <w:rPr>
          <w:rFonts w:ascii="Garamond" w:hAnsi="Garamond"/>
        </w:rPr>
        <w:t xml:space="preserve"> et al., 2004), and the one presented here is one that we have found most useful in our own teaching. This tool can be simplified or complicated to best meet your needs in developing classroom tests. </w:t>
      </w:r>
    </w:p>
    <w:p w:rsidR="00CC05EB" w:rsidRPr="008A7293" w:rsidRDefault="00CC05EB" w:rsidP="00581E5A">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jc w:val="center"/>
        <w:rPr>
          <w:rFonts w:ascii="Garamond" w:hAnsi="Garamond"/>
          <w:b/>
        </w:rPr>
      </w:pPr>
      <w:r w:rsidRPr="00581E5A">
        <w:rPr>
          <w:rFonts w:ascii="Arial" w:hAnsi="Arial" w:cs="Arial"/>
          <w:b/>
          <w:bCs/>
          <w:color w:val="0000FF"/>
        </w:rPr>
        <w:t>What is the Purpose of a Table of Specifications?</w:t>
      </w:r>
    </w:p>
    <w:p w:rsidR="00CC05EB" w:rsidRPr="008A7293" w:rsidRDefault="00CC05EB" w:rsidP="00581E5A">
      <w:pPr>
        <w:widowControl/>
        <w:spacing w:after="120"/>
        <w:ind w:firstLine="432"/>
        <w:rPr>
          <w:rFonts w:ascii="Garamond" w:hAnsi="Garamond"/>
        </w:rPr>
      </w:pPr>
      <w:r w:rsidRPr="008A7293">
        <w:rPr>
          <w:rFonts w:ascii="Garamond" w:hAnsi="Garamond"/>
        </w:rPr>
        <w:t xml:space="preserve">In order to understand how to best modify a TOS to meet your needs, it is important to understand the goal of this strategy: improving validity of a teacher’s evaluations based on a given assessment. </w:t>
      </w:r>
      <w:r w:rsidRPr="00581E5A">
        <w:rPr>
          <w:rFonts w:ascii="Garamond" w:hAnsi="Garamond" w:cs="Arial"/>
          <w:b/>
          <w:bCs/>
          <w:i/>
          <w:color w:val="0000FF"/>
        </w:rPr>
        <w:t>Validity</w:t>
      </w:r>
      <w:r w:rsidRPr="008A7293">
        <w:rPr>
          <w:rFonts w:ascii="Garamond" w:hAnsi="Garamond"/>
        </w:rPr>
        <w:t xml:space="preserve"> is </w:t>
      </w:r>
      <w:r w:rsidR="00520EF8">
        <w:rPr>
          <w:rFonts w:ascii="Garamond" w:hAnsi="Garamond"/>
        </w:rPr>
        <w:t xml:space="preserve">the </w:t>
      </w:r>
      <w:r w:rsidRPr="008A7293">
        <w:rPr>
          <w:rFonts w:ascii="Garamond" w:hAnsi="Garamond"/>
        </w:rPr>
        <w:t>degree to which the evaluations or judgments we make as teachers about our students can be trusted based on the quality of evidence we gathered (</w:t>
      </w:r>
      <w:proofErr w:type="spellStart"/>
      <w:r w:rsidRPr="008A7293">
        <w:rPr>
          <w:rFonts w:ascii="Garamond" w:eastAsia="Times New Roman" w:hAnsi="Garamond"/>
          <w:color w:val="000000"/>
        </w:rPr>
        <w:t>Wolming</w:t>
      </w:r>
      <w:proofErr w:type="spellEnd"/>
      <w:r w:rsidRPr="008A7293">
        <w:rPr>
          <w:rFonts w:ascii="Garamond" w:eastAsia="Times New Roman" w:hAnsi="Garamond"/>
          <w:color w:val="000000"/>
        </w:rPr>
        <w:t xml:space="preserve"> &amp; </w:t>
      </w:r>
      <w:proofErr w:type="spellStart"/>
      <w:r w:rsidRPr="008A7293">
        <w:rPr>
          <w:rFonts w:ascii="Garamond" w:eastAsia="Times New Roman" w:hAnsi="Garamond"/>
          <w:color w:val="000000"/>
        </w:rPr>
        <w:t>Wilkstrom</w:t>
      </w:r>
      <w:proofErr w:type="spellEnd"/>
      <w:r w:rsidRPr="008A7293">
        <w:rPr>
          <w:rFonts w:ascii="Garamond" w:eastAsia="Times New Roman" w:hAnsi="Garamond"/>
          <w:color w:val="000000"/>
        </w:rPr>
        <w:t>, 2010</w:t>
      </w:r>
      <w:r w:rsidRPr="008A7293">
        <w:rPr>
          <w:rFonts w:ascii="Garamond" w:hAnsi="Garamond"/>
        </w:rPr>
        <w:t xml:space="preserve">). It is important to understand that validity is not a property of the test constructed, but of the inferences we make based on the information gathered from a test. When we consider whether or not the grades we assign to students are accurate we are questioning the validity of our judgment. When we ask these questions we can look to the kinds of evidence endorsed by researchers and theorists in educational measurement to support the claims we make about our students (AERA, APA, NCME, 1999). For classroom assessments two sources of validity evidence are essential: evidence based on test content and evidence based on response process (APA, AERA, NCME, 1999). At the beginning of this article the students complained about a lack of coherence between the subject matter discussed in class (test content evidence) as well as the kind of thinking required on the test (response process evidence).  </w:t>
      </w:r>
    </w:p>
    <w:p w:rsidR="00CC05EB" w:rsidRPr="008A7293" w:rsidRDefault="00CC05EB" w:rsidP="00581E5A">
      <w:pPr>
        <w:widowControl/>
        <w:spacing w:after="120"/>
        <w:ind w:firstLine="432"/>
        <w:rPr>
          <w:rFonts w:ascii="Garamond" w:hAnsi="Garamond"/>
        </w:rPr>
      </w:pPr>
      <w:r w:rsidRPr="008A7293">
        <w:rPr>
          <w:rFonts w:ascii="Garamond" w:hAnsi="Garamond"/>
        </w:rPr>
        <w:t>Test content evidence was questioned by the first student who stated “</w:t>
      </w:r>
      <w:r w:rsidRPr="008A7293">
        <w:rPr>
          <w:rFonts w:ascii="Garamond" w:hAnsi="Garamond"/>
          <w:i/>
        </w:rPr>
        <w:t>But we only talked about Grover Cleveland for – like 2 seconds last week…</w:t>
      </w:r>
      <w:r w:rsidRPr="008A7293">
        <w:rPr>
          <w:rFonts w:ascii="Garamond" w:hAnsi="Garamond"/>
        </w:rPr>
        <w:t xml:space="preserve">” In this comment the student is concerned that the material (content) he studied and the teacher emphasized was not on the test. </w:t>
      </w:r>
      <w:r w:rsidRPr="00581E5A">
        <w:rPr>
          <w:rFonts w:ascii="Garamond" w:hAnsi="Garamond" w:cs="Arial"/>
          <w:b/>
          <w:bCs/>
          <w:i/>
          <w:color w:val="0000FF"/>
        </w:rPr>
        <w:t>Evidence based on test content</w:t>
      </w:r>
      <w:r w:rsidRPr="008A7293">
        <w:rPr>
          <w:rFonts w:ascii="Garamond" w:hAnsi="Garamond"/>
        </w:rPr>
        <w:t xml:space="preserve"> underscores the degree to which a test (or any assessment task) measures what it is designed (or supposed) to measure (</w:t>
      </w:r>
      <w:proofErr w:type="spellStart"/>
      <w:r w:rsidRPr="008A7293">
        <w:rPr>
          <w:rFonts w:ascii="Garamond" w:eastAsia="Times New Roman" w:hAnsi="Garamond"/>
          <w:color w:val="000000"/>
        </w:rPr>
        <w:t>Wolming</w:t>
      </w:r>
      <w:proofErr w:type="spellEnd"/>
      <w:r w:rsidRPr="008A7293">
        <w:rPr>
          <w:rFonts w:ascii="Garamond" w:eastAsia="Times New Roman" w:hAnsi="Garamond"/>
          <w:color w:val="000000"/>
        </w:rPr>
        <w:t xml:space="preserve"> &amp; </w:t>
      </w:r>
      <w:proofErr w:type="spellStart"/>
      <w:r w:rsidRPr="008A7293">
        <w:rPr>
          <w:rFonts w:ascii="Garamond" w:eastAsia="Times New Roman" w:hAnsi="Garamond"/>
          <w:color w:val="000000"/>
        </w:rPr>
        <w:t>Wilkstrom</w:t>
      </w:r>
      <w:proofErr w:type="spellEnd"/>
      <w:r w:rsidRPr="008A7293">
        <w:rPr>
          <w:rFonts w:ascii="Garamond" w:eastAsia="Times New Roman" w:hAnsi="Garamond"/>
          <w:color w:val="000000"/>
        </w:rPr>
        <w:t>, 2010</w:t>
      </w:r>
      <w:r w:rsidRPr="008A7293">
        <w:rPr>
          <w:rFonts w:ascii="Garamond" w:hAnsi="Garamond"/>
        </w:rPr>
        <w:t xml:space="preserve">). If an Algebra I teacher gave an exam on the proof of Pythagoras’ theorem and </w:t>
      </w:r>
      <w:r w:rsidRPr="008A7293">
        <w:rPr>
          <w:rFonts w:ascii="Garamond" w:hAnsi="Garamond"/>
        </w:rPr>
        <w:lastRenderedPageBreak/>
        <w:t>based her Algebra I grades on her students’ response to that exam, most of us would argue that the exam and the grades were unjustified. In assessment we would say that her judgment lacked evidence of test content agreement, because the evidence used (data from a geometry test) to make the judgment did not reflect students’ understanding of the targeted content (algebra). Your classroom tests must be aligned to the content (subject matter) taught in order for any of your judgments about student understanding and learning to be meaningful. Essentially, with test-content evidence we are interested in knowing if the measured (tested/assessed) objectives reflect what you claim to have measured.</w:t>
      </w:r>
    </w:p>
    <w:p w:rsidR="00CC05EB" w:rsidRPr="008A7293" w:rsidRDefault="00CC05EB" w:rsidP="00581E5A">
      <w:pPr>
        <w:widowControl/>
        <w:spacing w:after="120"/>
        <w:ind w:firstLine="432"/>
        <w:rPr>
          <w:rFonts w:ascii="Garamond" w:hAnsi="Garamond"/>
        </w:rPr>
      </w:pPr>
      <w:r w:rsidRPr="008A7293">
        <w:rPr>
          <w:rFonts w:ascii="Garamond" w:hAnsi="Garamond"/>
        </w:rPr>
        <w:t xml:space="preserve">Response process evidence is the second source of validity evidence that is essential to classroom teachers. </w:t>
      </w:r>
      <w:r w:rsidRPr="00581E5A">
        <w:rPr>
          <w:rFonts w:ascii="Garamond" w:hAnsi="Garamond" w:cs="Arial"/>
          <w:b/>
          <w:bCs/>
          <w:i/>
          <w:color w:val="0000FF"/>
        </w:rPr>
        <w:t>Response process evidence</w:t>
      </w:r>
      <w:r w:rsidRPr="008A7293">
        <w:rPr>
          <w:rFonts w:ascii="Garamond" w:hAnsi="Garamond"/>
        </w:rPr>
        <w:t xml:space="preserve"> is concerned with the alignment of the kinds of thinking required of students during instruction and during assessment (testing) activities. For example, the last student in the opening scenario implied that class time was spent comparing the U. S. North and South during the Gilded Age (circa 1877-1917) yet on the test the teacher asked a low level recall question about the economic base of the South. The inclusion of a question such as this is supported by evidence of test-content, the student recalled the topic mentioned. But the depth of processing required to compare the North and South</w:t>
      </w:r>
      <w:r w:rsidR="00A12749">
        <w:rPr>
          <w:rFonts w:ascii="Garamond" w:hAnsi="Garamond"/>
        </w:rPr>
        <w:t xml:space="preserve"> during instruction</w:t>
      </w:r>
      <w:r w:rsidRPr="008A7293">
        <w:rPr>
          <w:rFonts w:ascii="Garamond" w:hAnsi="Garamond"/>
        </w:rPr>
        <w:t xml:space="preserve"> involved more attention and deeper understanding of the material. This last student clearly felt that there was a lack of congruence in the kind of thinking required for this test and during instruction. </w:t>
      </w:r>
    </w:p>
    <w:p w:rsidR="00CC05EB" w:rsidRPr="008A7293" w:rsidRDefault="00CC05EB" w:rsidP="00581E5A">
      <w:pPr>
        <w:widowControl/>
        <w:spacing w:after="120"/>
        <w:ind w:firstLine="432"/>
        <w:rPr>
          <w:rFonts w:ascii="Garamond" w:hAnsi="Garamond"/>
        </w:rPr>
      </w:pPr>
      <w:r w:rsidRPr="008A7293">
        <w:rPr>
          <w:rFonts w:ascii="Garamond" w:hAnsi="Garamond"/>
        </w:rPr>
        <w:t>Sometimes the tests teachers administer have evidence for test content</w:t>
      </w:r>
      <w:r w:rsidR="00F532C5">
        <w:rPr>
          <w:rFonts w:ascii="Garamond" w:hAnsi="Garamond"/>
        </w:rPr>
        <w:t xml:space="preserve"> but not response process.</w:t>
      </w:r>
      <w:r w:rsidRPr="008A7293">
        <w:rPr>
          <w:rFonts w:ascii="Garamond" w:hAnsi="Garamond"/>
        </w:rPr>
        <w:t xml:space="preserve"> That is, </w:t>
      </w:r>
      <w:r w:rsidR="00F532C5">
        <w:rPr>
          <w:rFonts w:ascii="Garamond" w:hAnsi="Garamond"/>
        </w:rPr>
        <w:t xml:space="preserve">while the content is aligned with instruction </w:t>
      </w:r>
      <w:r w:rsidRPr="008A7293">
        <w:rPr>
          <w:rFonts w:ascii="Garamond" w:hAnsi="Garamond"/>
        </w:rPr>
        <w:t>the test do</w:t>
      </w:r>
      <w:r w:rsidR="00F532C5">
        <w:rPr>
          <w:rFonts w:ascii="Garamond" w:hAnsi="Garamond"/>
        </w:rPr>
        <w:t>es</w:t>
      </w:r>
      <w:r w:rsidRPr="008A7293">
        <w:rPr>
          <w:rFonts w:ascii="Garamond" w:hAnsi="Garamond"/>
        </w:rPr>
        <w:t xml:space="preserve"> not address the content at the same depth or level of meaning that was experienced in class. When students feel that they are being tricked or that the test is overly specific (nit-picky) there is probably an issue related to response process at play. As test constructors we need to concern ourselves with evidence of response process. One way to do this is to consider whether the same kind of </w:t>
      </w:r>
      <w:r w:rsidRPr="008A7293">
        <w:rPr>
          <w:rFonts w:ascii="Garamond" w:hAnsi="Garamond"/>
          <w:i/>
        </w:rPr>
        <w:t>thinking</w:t>
      </w:r>
      <w:r w:rsidRPr="008A7293">
        <w:rPr>
          <w:rFonts w:ascii="Garamond" w:hAnsi="Garamond"/>
        </w:rPr>
        <w:t xml:space="preserve"> is used during class activities and summative assessments. If the class activity focused on memorization then the final test </w:t>
      </w:r>
      <w:r w:rsidRPr="008A7293">
        <w:rPr>
          <w:rFonts w:ascii="Garamond" w:hAnsi="Garamond"/>
        </w:rPr>
        <w:lastRenderedPageBreak/>
        <w:t>should also focus on memorization and not</w:t>
      </w:r>
      <w:r w:rsidR="009678C1">
        <w:rPr>
          <w:rFonts w:ascii="Garamond" w:hAnsi="Garamond"/>
        </w:rPr>
        <w:t xml:space="preserve"> on</w:t>
      </w:r>
      <w:r w:rsidRPr="008A7293">
        <w:rPr>
          <w:rFonts w:ascii="Garamond" w:hAnsi="Garamond"/>
        </w:rPr>
        <w:t xml:space="preserve"> a thinking activity that is more advanced. </w:t>
      </w:r>
    </w:p>
    <w:p w:rsidR="00CC05EB" w:rsidRDefault="003D0316" w:rsidP="00581E5A">
      <w:pPr>
        <w:widowControl/>
        <w:spacing w:after="120"/>
        <w:ind w:firstLine="432"/>
        <w:rPr>
          <w:rFonts w:ascii="Garamond" w:hAnsi="Garamond"/>
        </w:rPr>
      </w:pPr>
      <w:r>
        <w:rPr>
          <w:rFonts w:ascii="Garamond" w:hAnsi="Garamond"/>
        </w:rPr>
        <w:t>Table</w:t>
      </w:r>
      <w:r w:rsidR="00CC05EB" w:rsidRPr="008A7293">
        <w:rPr>
          <w:rFonts w:ascii="Garamond" w:hAnsi="Garamond"/>
        </w:rPr>
        <w:t xml:space="preserve"> 1 provides two possible test items to assess the understanding of sources of validity evidence.  </w:t>
      </w:r>
      <w:r>
        <w:rPr>
          <w:rFonts w:ascii="Garamond" w:hAnsi="Garamond"/>
        </w:rPr>
        <w:t>In Table</w:t>
      </w:r>
      <w:r w:rsidR="00CC05EB" w:rsidRPr="008A7293">
        <w:rPr>
          <w:rFonts w:ascii="Garamond" w:hAnsi="Garamond"/>
        </w:rPr>
        <w:t xml:space="preserve"> 1, Option A assesses whether or not students can </w:t>
      </w:r>
      <w:r w:rsidR="00CC05EB" w:rsidRPr="008A7293">
        <w:rPr>
          <w:rFonts w:ascii="Garamond" w:hAnsi="Garamond"/>
          <w:i/>
        </w:rPr>
        <w:t>recognize</w:t>
      </w:r>
      <w:r w:rsidR="00CC05EB" w:rsidRPr="008A7293">
        <w:rPr>
          <w:rFonts w:ascii="Garamond" w:hAnsi="Garamond"/>
        </w:rPr>
        <w:t xml:space="preserve"> a definition of test content validity evidence. Option B assesses whether or not students can </w:t>
      </w:r>
      <w:r w:rsidR="00CC05EB" w:rsidRPr="008A7293">
        <w:rPr>
          <w:rFonts w:ascii="Garamond" w:hAnsi="Garamond"/>
          <w:i/>
        </w:rPr>
        <w:t>evaluate</w:t>
      </w:r>
      <w:r w:rsidR="00CC05EB" w:rsidRPr="008A7293">
        <w:rPr>
          <w:rFonts w:ascii="Garamond" w:hAnsi="Garamond"/>
        </w:rPr>
        <w:t xml:space="preserve"> the prompt and </w:t>
      </w:r>
      <w:r w:rsidR="00CC05EB" w:rsidRPr="008A7293">
        <w:rPr>
          <w:rFonts w:ascii="Garamond" w:hAnsi="Garamond"/>
          <w:i/>
        </w:rPr>
        <w:t>apply</w:t>
      </w:r>
      <w:r w:rsidR="00CC05EB" w:rsidRPr="008A7293">
        <w:rPr>
          <w:rFonts w:ascii="Garamond" w:hAnsi="Garamond"/>
        </w:rPr>
        <w:t xml:space="preserve"> the type of validity evidence described in the scenario. Thus, these two items require different levels of thinking and understanding of the same content (i.e., recognizing vs. evaluating/applying). Evidence of response process ensures that classroom tests assess the level of thinking that was required for students during their instructional experiences. </w:t>
      </w:r>
    </w:p>
    <w:tbl>
      <w:tblPr>
        <w:tblW w:w="4518" w:type="dxa"/>
        <w:jc w:val="center"/>
        <w:tblCellMar>
          <w:left w:w="58" w:type="dxa"/>
          <w:right w:w="58" w:type="dxa"/>
        </w:tblCellMar>
        <w:tblLook w:val="04A0" w:firstRow="1" w:lastRow="0" w:firstColumn="1" w:lastColumn="0" w:noHBand="0" w:noVBand="1"/>
      </w:tblPr>
      <w:tblGrid>
        <w:gridCol w:w="4518"/>
      </w:tblGrid>
      <w:tr w:rsidR="00CD556C" w:rsidRPr="001307BA" w:rsidTr="003D0316">
        <w:trPr>
          <w:jc w:val="center"/>
        </w:trPr>
        <w:tc>
          <w:tcPr>
            <w:tcW w:w="4518" w:type="dxa"/>
            <w:tcBorders>
              <w:bottom w:val="single" w:sz="18" w:space="0" w:color="auto"/>
            </w:tcBorders>
            <w:shd w:val="clear" w:color="auto" w:fill="auto"/>
          </w:tcPr>
          <w:p w:rsidR="00CD556C" w:rsidRPr="001307BA" w:rsidRDefault="00CD556C" w:rsidP="0035076F">
            <w:pPr>
              <w:jc w:val="left"/>
              <w:rPr>
                <w:rFonts w:ascii="Garamond" w:hAnsi="Garamond"/>
                <w:sz w:val="22"/>
                <w:u w:val="single"/>
              </w:rPr>
            </w:pPr>
            <w:r w:rsidRPr="001307BA">
              <w:rPr>
                <w:rFonts w:ascii="Garamond" w:hAnsi="Garamond"/>
                <w:sz w:val="22"/>
              </w:rPr>
              <w:t>Table 1: Examples of items assessing different cognitive levels</w:t>
            </w:r>
          </w:p>
        </w:tc>
      </w:tr>
      <w:tr w:rsidR="00CD556C" w:rsidRPr="001307BA" w:rsidTr="003D0316">
        <w:trPr>
          <w:jc w:val="center"/>
        </w:trPr>
        <w:tc>
          <w:tcPr>
            <w:tcW w:w="4518" w:type="dxa"/>
            <w:tcBorders>
              <w:top w:val="single" w:sz="18" w:space="0" w:color="auto"/>
              <w:bottom w:val="single" w:sz="4" w:space="0" w:color="auto"/>
            </w:tcBorders>
            <w:shd w:val="clear" w:color="auto" w:fill="auto"/>
          </w:tcPr>
          <w:p w:rsidR="003D0316" w:rsidRDefault="003D0316" w:rsidP="00CD556C">
            <w:pPr>
              <w:jc w:val="left"/>
              <w:rPr>
                <w:rFonts w:ascii="Garamond" w:hAnsi="Garamond"/>
                <w:sz w:val="22"/>
                <w:u w:val="single"/>
              </w:rPr>
            </w:pPr>
          </w:p>
          <w:p w:rsidR="00CD556C" w:rsidRPr="001307BA" w:rsidRDefault="00CD556C" w:rsidP="00CD556C">
            <w:pPr>
              <w:jc w:val="left"/>
              <w:rPr>
                <w:rFonts w:ascii="Garamond" w:hAnsi="Garamond"/>
                <w:sz w:val="22"/>
                <w:u w:val="single"/>
              </w:rPr>
            </w:pPr>
            <w:r w:rsidRPr="001307BA">
              <w:rPr>
                <w:rFonts w:ascii="Garamond" w:hAnsi="Garamond"/>
                <w:sz w:val="22"/>
                <w:u w:val="single"/>
              </w:rPr>
              <w:t>Option A</w:t>
            </w:r>
          </w:p>
          <w:p w:rsidR="00CD556C" w:rsidRPr="001307BA" w:rsidRDefault="00CD556C" w:rsidP="00CD556C">
            <w:pPr>
              <w:jc w:val="left"/>
              <w:rPr>
                <w:rFonts w:ascii="Garamond" w:hAnsi="Garamond"/>
                <w:sz w:val="22"/>
                <w:u w:val="single"/>
              </w:rPr>
            </w:pPr>
          </w:p>
          <w:p w:rsidR="00CD556C" w:rsidRPr="001307BA" w:rsidRDefault="00CD556C" w:rsidP="003D0316">
            <w:pPr>
              <w:spacing w:after="120"/>
              <w:jc w:val="left"/>
              <w:rPr>
                <w:rFonts w:ascii="Garamond" w:hAnsi="Garamond"/>
                <w:sz w:val="22"/>
              </w:rPr>
            </w:pPr>
            <w:r w:rsidRPr="001307BA">
              <w:rPr>
                <w:rFonts w:ascii="Garamond" w:hAnsi="Garamond"/>
                <w:sz w:val="22"/>
              </w:rPr>
              <w:t xml:space="preserve">The degree to which the test assesses the appropriate content material it intends to measure refers to </w:t>
            </w:r>
            <w:r w:rsidR="003D0316">
              <w:rPr>
                <w:rFonts w:ascii="Garamond" w:hAnsi="Garamond"/>
                <w:sz w:val="22"/>
              </w:rPr>
              <w:t>evidence of:</w:t>
            </w:r>
          </w:p>
          <w:p w:rsidR="00CD556C" w:rsidRPr="001307BA" w:rsidRDefault="00CD556C" w:rsidP="003D0316">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589"/>
              </w:tabs>
              <w:autoSpaceDE/>
              <w:autoSpaceDN/>
              <w:adjustRightInd/>
              <w:ind w:left="1409"/>
              <w:jc w:val="left"/>
              <w:rPr>
                <w:rFonts w:ascii="Garamond" w:hAnsi="Garamond"/>
                <w:sz w:val="22"/>
              </w:rPr>
            </w:pPr>
            <w:proofErr w:type="gramStart"/>
            <w:r w:rsidRPr="001307BA">
              <w:rPr>
                <w:rFonts w:ascii="Garamond" w:hAnsi="Garamond"/>
                <w:sz w:val="22"/>
              </w:rPr>
              <w:t>test</w:t>
            </w:r>
            <w:proofErr w:type="gramEnd"/>
            <w:r w:rsidRPr="001307BA">
              <w:rPr>
                <w:rFonts w:ascii="Garamond" w:hAnsi="Garamond"/>
                <w:sz w:val="22"/>
              </w:rPr>
              <w:t xml:space="preserve"> content.</w:t>
            </w:r>
          </w:p>
          <w:p w:rsidR="00CD556C" w:rsidRPr="001307BA" w:rsidRDefault="00CD556C" w:rsidP="003D0316">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589"/>
              </w:tabs>
              <w:autoSpaceDE/>
              <w:autoSpaceDN/>
              <w:adjustRightInd/>
              <w:ind w:left="1409"/>
              <w:jc w:val="left"/>
              <w:rPr>
                <w:rFonts w:ascii="Garamond" w:hAnsi="Garamond"/>
                <w:sz w:val="22"/>
              </w:rPr>
            </w:pPr>
            <w:proofErr w:type="gramStart"/>
            <w:r w:rsidRPr="001307BA">
              <w:rPr>
                <w:rFonts w:ascii="Garamond" w:hAnsi="Garamond"/>
                <w:sz w:val="22"/>
              </w:rPr>
              <w:t>response</w:t>
            </w:r>
            <w:proofErr w:type="gramEnd"/>
            <w:r w:rsidRPr="001307BA">
              <w:rPr>
                <w:rFonts w:ascii="Garamond" w:hAnsi="Garamond"/>
                <w:sz w:val="22"/>
              </w:rPr>
              <w:t xml:space="preserve"> process.</w:t>
            </w:r>
          </w:p>
          <w:p w:rsidR="00CD556C" w:rsidRPr="001307BA" w:rsidRDefault="00CD556C" w:rsidP="003D0316">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589"/>
              </w:tabs>
              <w:autoSpaceDE/>
              <w:autoSpaceDN/>
              <w:adjustRightInd/>
              <w:ind w:left="1409"/>
              <w:jc w:val="left"/>
              <w:rPr>
                <w:rFonts w:ascii="Garamond" w:hAnsi="Garamond"/>
                <w:sz w:val="22"/>
              </w:rPr>
            </w:pPr>
            <w:proofErr w:type="gramStart"/>
            <w:r w:rsidRPr="001307BA">
              <w:rPr>
                <w:rFonts w:ascii="Garamond" w:hAnsi="Garamond"/>
                <w:sz w:val="22"/>
              </w:rPr>
              <w:t>criterion</w:t>
            </w:r>
            <w:proofErr w:type="gramEnd"/>
            <w:r w:rsidRPr="001307BA">
              <w:rPr>
                <w:rFonts w:ascii="Garamond" w:hAnsi="Garamond"/>
                <w:sz w:val="22"/>
              </w:rPr>
              <w:t xml:space="preserve"> relationships.</w:t>
            </w:r>
          </w:p>
          <w:p w:rsidR="00CD556C" w:rsidRPr="001307BA" w:rsidRDefault="00CD556C" w:rsidP="003D0316">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589"/>
              </w:tabs>
              <w:autoSpaceDE/>
              <w:autoSpaceDN/>
              <w:adjustRightInd/>
              <w:ind w:left="1409"/>
              <w:jc w:val="left"/>
              <w:rPr>
                <w:rFonts w:ascii="Garamond" w:hAnsi="Garamond"/>
                <w:sz w:val="22"/>
                <w:u w:val="single"/>
              </w:rPr>
            </w:pPr>
            <w:proofErr w:type="gramStart"/>
            <w:r w:rsidRPr="001307BA">
              <w:rPr>
                <w:rFonts w:ascii="Garamond" w:hAnsi="Garamond"/>
                <w:sz w:val="22"/>
              </w:rPr>
              <w:t>test</w:t>
            </w:r>
            <w:proofErr w:type="gramEnd"/>
            <w:r w:rsidRPr="001307BA">
              <w:rPr>
                <w:rFonts w:ascii="Garamond" w:hAnsi="Garamond"/>
                <w:sz w:val="22"/>
              </w:rPr>
              <w:t xml:space="preserve"> consequences.</w:t>
            </w:r>
          </w:p>
        </w:tc>
      </w:tr>
      <w:tr w:rsidR="00CD556C" w:rsidRPr="001307BA" w:rsidTr="003D0316">
        <w:trPr>
          <w:jc w:val="center"/>
        </w:trPr>
        <w:tc>
          <w:tcPr>
            <w:tcW w:w="4518" w:type="dxa"/>
            <w:tcBorders>
              <w:bottom w:val="single" w:sz="18" w:space="0" w:color="auto"/>
            </w:tcBorders>
            <w:shd w:val="clear" w:color="auto" w:fill="auto"/>
          </w:tcPr>
          <w:p w:rsidR="003D0316" w:rsidRDefault="003D0316" w:rsidP="00CD556C">
            <w:pPr>
              <w:jc w:val="left"/>
              <w:rPr>
                <w:rFonts w:ascii="Garamond" w:hAnsi="Garamond"/>
                <w:sz w:val="22"/>
                <w:u w:val="single"/>
              </w:rPr>
            </w:pPr>
          </w:p>
          <w:p w:rsidR="00CD556C" w:rsidRPr="001307BA" w:rsidRDefault="00CD556C" w:rsidP="00CD556C">
            <w:pPr>
              <w:jc w:val="left"/>
              <w:rPr>
                <w:rFonts w:ascii="Garamond" w:hAnsi="Garamond"/>
                <w:sz w:val="22"/>
                <w:u w:val="single"/>
              </w:rPr>
            </w:pPr>
            <w:r w:rsidRPr="001307BA">
              <w:rPr>
                <w:rFonts w:ascii="Garamond" w:hAnsi="Garamond"/>
                <w:sz w:val="22"/>
                <w:u w:val="single"/>
              </w:rPr>
              <w:t>Option B</w:t>
            </w:r>
          </w:p>
          <w:p w:rsidR="00CD556C" w:rsidRPr="001307BA" w:rsidRDefault="00CD556C" w:rsidP="00CD556C">
            <w:pPr>
              <w:jc w:val="left"/>
              <w:rPr>
                <w:rFonts w:ascii="Garamond" w:hAnsi="Garamond"/>
                <w:sz w:val="22"/>
              </w:rPr>
            </w:pPr>
          </w:p>
          <w:p w:rsidR="00CD556C" w:rsidRPr="001307BA" w:rsidRDefault="00CD556C" w:rsidP="00CD556C">
            <w:pPr>
              <w:jc w:val="left"/>
              <w:rPr>
                <w:rFonts w:ascii="Garamond" w:hAnsi="Garamond"/>
                <w:sz w:val="22"/>
              </w:rPr>
            </w:pPr>
            <w:r w:rsidRPr="001307BA">
              <w:rPr>
                <w:rFonts w:ascii="Garamond" w:hAnsi="Garamond"/>
                <w:sz w:val="22"/>
              </w:rPr>
              <w:t xml:space="preserve">Constance is fed up with Mr. Kent, her history teacher. He asks the most obscure items on his test about things that were </w:t>
            </w:r>
            <w:r w:rsidRPr="001307BA">
              <w:rPr>
                <w:rFonts w:ascii="Garamond" w:hAnsi="Garamond"/>
                <w:sz w:val="22"/>
                <w:u w:val="single"/>
              </w:rPr>
              <w:t>never</w:t>
            </w:r>
            <w:r w:rsidRPr="001307BA">
              <w:rPr>
                <w:rFonts w:ascii="Garamond" w:hAnsi="Garamond"/>
                <w:sz w:val="22"/>
              </w:rPr>
              <w:t xml:space="preserve"> discussed in class! </w:t>
            </w:r>
          </w:p>
          <w:p w:rsidR="00CD556C" w:rsidRPr="001307BA" w:rsidRDefault="00CD556C" w:rsidP="00CD556C">
            <w:pPr>
              <w:jc w:val="left"/>
              <w:rPr>
                <w:rFonts w:ascii="Garamond" w:hAnsi="Garamond"/>
                <w:sz w:val="22"/>
              </w:rPr>
            </w:pPr>
          </w:p>
          <w:p w:rsidR="00CD556C" w:rsidRPr="001307BA" w:rsidRDefault="00CD556C" w:rsidP="00CD556C">
            <w:pPr>
              <w:jc w:val="left"/>
              <w:rPr>
                <w:rFonts w:ascii="Garamond" w:hAnsi="Garamond"/>
                <w:sz w:val="22"/>
              </w:rPr>
            </w:pPr>
            <w:r w:rsidRPr="001307BA">
              <w:rPr>
                <w:rFonts w:ascii="Garamond" w:hAnsi="Garamond"/>
                <w:sz w:val="22"/>
              </w:rPr>
              <w:t>What kind of test evidence is Constance concerned about?</w:t>
            </w:r>
          </w:p>
          <w:p w:rsidR="00CD556C" w:rsidRPr="001307BA" w:rsidRDefault="00CD556C" w:rsidP="003D0316">
            <w:pPr>
              <w:widowControl/>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049"/>
              </w:tabs>
              <w:autoSpaceDE/>
              <w:autoSpaceDN/>
              <w:adjustRightInd/>
              <w:ind w:left="1409"/>
              <w:jc w:val="left"/>
              <w:rPr>
                <w:rFonts w:ascii="Garamond" w:hAnsi="Garamond"/>
                <w:sz w:val="22"/>
              </w:rPr>
            </w:pPr>
            <w:r w:rsidRPr="001307BA">
              <w:rPr>
                <w:rFonts w:ascii="Garamond" w:hAnsi="Garamond"/>
                <w:sz w:val="22"/>
              </w:rPr>
              <w:t>Test Content</w:t>
            </w:r>
          </w:p>
          <w:p w:rsidR="00CD556C" w:rsidRPr="001307BA" w:rsidRDefault="00CD556C" w:rsidP="003D0316">
            <w:pPr>
              <w:widowControl/>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049"/>
              </w:tabs>
              <w:autoSpaceDE/>
              <w:autoSpaceDN/>
              <w:adjustRightInd/>
              <w:ind w:left="1409"/>
              <w:jc w:val="left"/>
              <w:rPr>
                <w:rFonts w:ascii="Garamond" w:hAnsi="Garamond"/>
                <w:sz w:val="22"/>
              </w:rPr>
            </w:pPr>
            <w:r w:rsidRPr="001307BA">
              <w:rPr>
                <w:rFonts w:ascii="Garamond" w:hAnsi="Garamond"/>
                <w:sz w:val="22"/>
              </w:rPr>
              <w:t>Response Process</w:t>
            </w:r>
          </w:p>
          <w:p w:rsidR="00CD556C" w:rsidRPr="001307BA" w:rsidRDefault="00CD556C" w:rsidP="003D0316">
            <w:pPr>
              <w:widowControl/>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049"/>
              </w:tabs>
              <w:autoSpaceDE/>
              <w:autoSpaceDN/>
              <w:adjustRightInd/>
              <w:ind w:left="1409"/>
              <w:jc w:val="left"/>
              <w:rPr>
                <w:rFonts w:ascii="Garamond" w:hAnsi="Garamond"/>
                <w:sz w:val="22"/>
              </w:rPr>
            </w:pPr>
            <w:r w:rsidRPr="001307BA">
              <w:rPr>
                <w:rFonts w:ascii="Garamond" w:hAnsi="Garamond"/>
                <w:sz w:val="22"/>
              </w:rPr>
              <w:t>Criterion Relationships</w:t>
            </w:r>
          </w:p>
          <w:p w:rsidR="00CD556C" w:rsidRPr="001307BA" w:rsidRDefault="00CD556C" w:rsidP="003D0316">
            <w:pPr>
              <w:widowControl/>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049"/>
              </w:tabs>
              <w:autoSpaceDE/>
              <w:autoSpaceDN/>
              <w:adjustRightInd/>
              <w:ind w:left="1409"/>
              <w:jc w:val="left"/>
              <w:rPr>
                <w:rFonts w:ascii="Garamond" w:hAnsi="Garamond"/>
                <w:sz w:val="22"/>
              </w:rPr>
            </w:pPr>
            <w:r w:rsidRPr="001307BA">
              <w:rPr>
                <w:rFonts w:ascii="Garamond" w:hAnsi="Garamond"/>
                <w:sz w:val="22"/>
              </w:rPr>
              <w:t>Test Consequences</w:t>
            </w:r>
          </w:p>
        </w:tc>
      </w:tr>
    </w:tbl>
    <w:p w:rsidR="00CD556C" w:rsidRPr="008A7293" w:rsidRDefault="00CD556C" w:rsidP="00CD556C">
      <w:pPr>
        <w:widowControl/>
        <w:spacing w:after="120"/>
        <w:rPr>
          <w:rFonts w:ascii="Garamond" w:hAnsi="Garamond"/>
        </w:rPr>
      </w:pPr>
    </w:p>
    <w:p w:rsidR="00CC05EB" w:rsidRPr="008A7293" w:rsidRDefault="00CC05EB" w:rsidP="00581E5A">
      <w:pPr>
        <w:widowControl/>
        <w:spacing w:after="120"/>
        <w:ind w:firstLine="432"/>
        <w:rPr>
          <w:rFonts w:ascii="Garamond" w:hAnsi="Garamond"/>
        </w:rPr>
      </w:pPr>
      <w:proofErr w:type="gramStart"/>
      <w:r w:rsidRPr="00581E5A">
        <w:rPr>
          <w:rFonts w:ascii="Garamond" w:hAnsi="Garamond" w:cs="Arial"/>
          <w:b/>
          <w:bCs/>
          <w:color w:val="0000FF"/>
        </w:rPr>
        <w:t>Levels of thinking</w:t>
      </w:r>
      <w:r w:rsidRPr="008A7293">
        <w:rPr>
          <w:rFonts w:ascii="Garamond" w:hAnsi="Garamond"/>
          <w:b/>
          <w:i/>
        </w:rPr>
        <w:t>.</w:t>
      </w:r>
      <w:proofErr w:type="gramEnd"/>
      <w:r w:rsidRPr="008A7293">
        <w:rPr>
          <w:rFonts w:ascii="Garamond" w:hAnsi="Garamond"/>
          <w:b/>
          <w:i/>
        </w:rPr>
        <w:t xml:space="preserve"> </w:t>
      </w:r>
      <w:r w:rsidRPr="008A7293">
        <w:rPr>
          <w:rFonts w:ascii="Garamond" w:hAnsi="Garamond"/>
        </w:rPr>
        <w:t xml:space="preserve">Six levels of thinking were identified by Bloom in the 1950’s and these levels were revised by a group of researchers in 2001 (Anderson et al). Thinking that emphasizes recall, memorization, identification, and comprehension, is typically considered to be at a lower level. Higher levels of </w:t>
      </w:r>
      <w:r w:rsidRPr="008A7293">
        <w:rPr>
          <w:rFonts w:ascii="Garamond" w:hAnsi="Garamond"/>
        </w:rPr>
        <w:lastRenderedPageBreak/>
        <w:t xml:space="preserve">thinking include processes that require learners to apply, analyze, evaluate, and synthesize. </w:t>
      </w:r>
    </w:p>
    <w:p w:rsidR="00CC05EB" w:rsidRDefault="00093960" w:rsidP="00581E5A">
      <w:pPr>
        <w:widowControl/>
        <w:spacing w:after="120"/>
        <w:ind w:firstLine="432"/>
        <w:rPr>
          <w:rFonts w:ascii="Garamond" w:hAnsi="Garamond"/>
        </w:rPr>
      </w:pPr>
      <w:r>
        <w:rPr>
          <w:rFonts w:ascii="Garamond" w:hAnsi="Garamond"/>
        </w:rPr>
        <w:t>Table 2</w:t>
      </w:r>
      <w:r w:rsidR="00CC05EB" w:rsidRPr="008A7293">
        <w:rPr>
          <w:rFonts w:ascii="Garamond" w:hAnsi="Garamond"/>
        </w:rPr>
        <w:t xml:space="preserve"> present</w:t>
      </w:r>
      <w:r w:rsidR="00520EF8">
        <w:rPr>
          <w:rFonts w:ascii="Garamond" w:hAnsi="Garamond"/>
        </w:rPr>
        <w:t>s</w:t>
      </w:r>
      <w:r w:rsidR="00CC05EB" w:rsidRPr="008A7293">
        <w:rPr>
          <w:rFonts w:ascii="Garamond" w:hAnsi="Garamond"/>
        </w:rPr>
        <w:t xml:space="preserve"> two </w:t>
      </w:r>
      <w:r>
        <w:rPr>
          <w:rFonts w:ascii="Garamond" w:hAnsi="Garamond"/>
        </w:rPr>
        <w:t>released questions</w:t>
      </w:r>
      <w:r w:rsidR="00CC05EB" w:rsidRPr="008A7293">
        <w:rPr>
          <w:rFonts w:ascii="Garamond" w:hAnsi="Garamond"/>
        </w:rPr>
        <w:t xml:space="preserve"> from a 5</w:t>
      </w:r>
      <w:r w:rsidR="00CC05EB" w:rsidRPr="008A7293">
        <w:rPr>
          <w:rFonts w:ascii="Garamond" w:hAnsi="Garamond"/>
          <w:vertAlign w:val="superscript"/>
        </w:rPr>
        <w:t>th</w:t>
      </w:r>
      <w:r w:rsidR="00CC05EB" w:rsidRPr="008A7293">
        <w:rPr>
          <w:rFonts w:ascii="Garamond" w:hAnsi="Garamond"/>
        </w:rPr>
        <w:t xml:space="preserve"> grade U. S. History test on the Middle Colonies. Take a moment to review the two test items. </w:t>
      </w:r>
      <w:r>
        <w:rPr>
          <w:rFonts w:ascii="Garamond" w:hAnsi="Garamond"/>
        </w:rPr>
        <w:t>The first item</w:t>
      </w:r>
      <w:r w:rsidR="00CC05EB" w:rsidRPr="008A7293">
        <w:rPr>
          <w:rFonts w:ascii="Garamond" w:hAnsi="Garamond"/>
        </w:rPr>
        <w:t xml:space="preserve"> is written to assess student thinking at a lower level because it asks the student to recall facts and identify the same facts in the answer choices given. This question does not require students to do more than </w:t>
      </w:r>
      <w:r w:rsidRPr="008A7293">
        <w:rPr>
          <w:rFonts w:ascii="Garamond" w:hAnsi="Garamond"/>
        </w:rPr>
        <w:t>repeat</w:t>
      </w:r>
      <w:r w:rsidR="00CC05EB" w:rsidRPr="008A7293">
        <w:rPr>
          <w:rFonts w:ascii="Garamond" w:hAnsi="Garamond"/>
        </w:rPr>
        <w:t xml:space="preserve"> the information presented in the textbook. In contrast,</w:t>
      </w:r>
      <w:r>
        <w:rPr>
          <w:rFonts w:ascii="Garamond" w:hAnsi="Garamond"/>
        </w:rPr>
        <w:t xml:space="preserve"> the second item </w:t>
      </w:r>
      <w:r w:rsidR="00CC05EB" w:rsidRPr="008A7293">
        <w:rPr>
          <w:rFonts w:ascii="Garamond" w:hAnsi="Garamond"/>
        </w:rPr>
        <w:t xml:space="preserve">addresses similar content but is written to assess higher levels of thinking. This item requires students recall information about Maryland colonists and apply that information to the examples given.  </w:t>
      </w:r>
    </w:p>
    <w:tbl>
      <w:tblPr>
        <w:tblW w:w="5040" w:type="dxa"/>
        <w:jc w:val="center"/>
        <w:tblLook w:val="04A0" w:firstRow="1" w:lastRow="0" w:firstColumn="1" w:lastColumn="0" w:noHBand="0" w:noVBand="1"/>
      </w:tblPr>
      <w:tblGrid>
        <w:gridCol w:w="2486"/>
        <w:gridCol w:w="33"/>
        <w:gridCol w:w="2521"/>
      </w:tblGrid>
      <w:tr w:rsidR="00D06DBF" w:rsidRPr="0021798E" w:rsidTr="00093960">
        <w:trPr>
          <w:jc w:val="center"/>
        </w:trPr>
        <w:tc>
          <w:tcPr>
            <w:tcW w:w="5040" w:type="dxa"/>
            <w:gridSpan w:val="3"/>
            <w:tcBorders>
              <w:bottom w:val="single" w:sz="18" w:space="0" w:color="auto"/>
            </w:tcBorders>
          </w:tcPr>
          <w:p w:rsidR="00D06DBF" w:rsidRPr="0076424F" w:rsidRDefault="00D06DBF" w:rsidP="0035076F">
            <w:pPr>
              <w:rPr>
                <w:rFonts w:ascii="Garamond" w:hAnsi="Garamond"/>
                <w:sz w:val="22"/>
                <w:szCs w:val="22"/>
              </w:rPr>
            </w:pPr>
            <w:r>
              <w:rPr>
                <w:rFonts w:ascii="Garamond" w:hAnsi="Garamond"/>
                <w:sz w:val="22"/>
                <w:szCs w:val="22"/>
              </w:rPr>
              <w:t xml:space="preserve">Table 2: </w:t>
            </w:r>
            <w:r w:rsidR="00093960">
              <w:rPr>
                <w:rFonts w:ascii="Garamond" w:hAnsi="Garamond"/>
                <w:sz w:val="22"/>
                <w:szCs w:val="22"/>
              </w:rPr>
              <w:t>E</w:t>
            </w:r>
            <w:r w:rsidRPr="00D06DBF">
              <w:rPr>
                <w:rFonts w:ascii="Garamond" w:hAnsi="Garamond"/>
                <w:sz w:val="22"/>
                <w:szCs w:val="22"/>
              </w:rPr>
              <w:t>xample</w:t>
            </w:r>
            <w:r w:rsidR="00093960">
              <w:rPr>
                <w:rFonts w:ascii="Garamond" w:hAnsi="Garamond"/>
                <w:sz w:val="22"/>
                <w:szCs w:val="22"/>
              </w:rPr>
              <w:t>s</w:t>
            </w:r>
            <w:r w:rsidRPr="00D06DBF">
              <w:rPr>
                <w:rFonts w:ascii="Garamond" w:hAnsi="Garamond"/>
                <w:sz w:val="22"/>
                <w:szCs w:val="22"/>
              </w:rPr>
              <w:t xml:space="preserve"> of a lower-</w:t>
            </w:r>
            <w:r w:rsidR="00093960">
              <w:rPr>
                <w:rFonts w:ascii="Garamond" w:hAnsi="Garamond"/>
                <w:sz w:val="22"/>
                <w:szCs w:val="22"/>
              </w:rPr>
              <w:t xml:space="preserve"> and higher-</w:t>
            </w:r>
            <w:r w:rsidRPr="00D06DBF">
              <w:rPr>
                <w:rFonts w:ascii="Garamond" w:hAnsi="Garamond"/>
                <w:sz w:val="22"/>
                <w:szCs w:val="22"/>
              </w:rPr>
              <w:t>level item</w:t>
            </w:r>
            <w:r w:rsidR="00093960">
              <w:rPr>
                <w:rFonts w:ascii="Garamond" w:hAnsi="Garamond"/>
                <w:sz w:val="22"/>
                <w:szCs w:val="22"/>
              </w:rPr>
              <w:t>s</w:t>
            </w:r>
          </w:p>
        </w:tc>
      </w:tr>
      <w:tr w:rsidR="00D06DBF" w:rsidRPr="0021798E" w:rsidTr="00093960">
        <w:trPr>
          <w:jc w:val="center"/>
        </w:trPr>
        <w:tc>
          <w:tcPr>
            <w:tcW w:w="2519" w:type="dxa"/>
            <w:gridSpan w:val="2"/>
            <w:tcBorders>
              <w:top w:val="single" w:sz="18" w:space="0" w:color="auto"/>
              <w:bottom w:val="single" w:sz="8" w:space="0" w:color="auto"/>
            </w:tcBorders>
          </w:tcPr>
          <w:p w:rsidR="00D06DBF" w:rsidRPr="0076424F" w:rsidRDefault="00D06DBF" w:rsidP="0035076F">
            <w:pPr>
              <w:rPr>
                <w:rFonts w:ascii="Garamond" w:hAnsi="Garamond"/>
                <w:sz w:val="22"/>
                <w:szCs w:val="22"/>
              </w:rPr>
            </w:pPr>
            <w:r w:rsidRPr="0076424F">
              <w:rPr>
                <w:rFonts w:ascii="Garamond" w:hAnsi="Garamond"/>
                <w:sz w:val="22"/>
                <w:szCs w:val="22"/>
              </w:rPr>
              <w:t>Item</w:t>
            </w:r>
          </w:p>
        </w:tc>
        <w:tc>
          <w:tcPr>
            <w:tcW w:w="2521" w:type="dxa"/>
            <w:tcBorders>
              <w:top w:val="single" w:sz="18" w:space="0" w:color="auto"/>
              <w:bottom w:val="single" w:sz="8" w:space="0" w:color="auto"/>
            </w:tcBorders>
          </w:tcPr>
          <w:p w:rsidR="00D06DBF" w:rsidRPr="0076424F" w:rsidRDefault="00D06DBF" w:rsidP="0035076F">
            <w:pPr>
              <w:rPr>
                <w:rFonts w:ascii="Garamond" w:hAnsi="Garamond"/>
                <w:sz w:val="22"/>
                <w:szCs w:val="22"/>
              </w:rPr>
            </w:pPr>
            <w:r w:rsidRPr="0076424F">
              <w:rPr>
                <w:rFonts w:ascii="Garamond" w:hAnsi="Garamond"/>
                <w:sz w:val="22"/>
                <w:szCs w:val="22"/>
              </w:rPr>
              <w:t>Cognitive Level</w:t>
            </w:r>
          </w:p>
        </w:tc>
      </w:tr>
      <w:tr w:rsidR="00D06DBF" w:rsidRPr="0021798E" w:rsidTr="00093960">
        <w:trPr>
          <w:jc w:val="center"/>
        </w:trPr>
        <w:tc>
          <w:tcPr>
            <w:tcW w:w="2519" w:type="dxa"/>
            <w:gridSpan w:val="2"/>
            <w:tcBorders>
              <w:top w:val="single" w:sz="8" w:space="0" w:color="auto"/>
              <w:bottom w:val="single" w:sz="8" w:space="0" w:color="auto"/>
            </w:tcBorders>
          </w:tcPr>
          <w:p w:rsidR="00D06DBF" w:rsidRPr="0076424F" w:rsidRDefault="00093960" w:rsidP="00D06DBF">
            <w:pPr>
              <w:spacing w:before="120"/>
              <w:jc w:val="left"/>
              <w:rPr>
                <w:rFonts w:ascii="Garamond" w:hAnsi="Garamond"/>
                <w:sz w:val="22"/>
                <w:szCs w:val="22"/>
              </w:rPr>
            </w:pPr>
            <w:r>
              <w:rPr>
                <w:rFonts w:ascii="Garamond" w:hAnsi="Garamond"/>
                <w:sz w:val="22"/>
                <w:szCs w:val="22"/>
              </w:rPr>
              <w:t xml:space="preserve">1. </w:t>
            </w:r>
            <w:r w:rsidR="00D06DBF" w:rsidRPr="0076424F">
              <w:rPr>
                <w:rFonts w:ascii="Garamond" w:hAnsi="Garamond"/>
                <w:sz w:val="22"/>
                <w:szCs w:val="22"/>
              </w:rPr>
              <w:t>Maryland was settled as a/an</w:t>
            </w:r>
          </w:p>
          <w:p w:rsidR="00D06DBF" w:rsidRPr="0076424F" w:rsidRDefault="00D06DBF" w:rsidP="00D06DBF">
            <w:pPr>
              <w:jc w:val="left"/>
              <w:rPr>
                <w:rFonts w:ascii="Garamond" w:hAnsi="Garamond"/>
                <w:sz w:val="22"/>
                <w:szCs w:val="22"/>
              </w:rPr>
            </w:pPr>
          </w:p>
          <w:p w:rsidR="00D06DBF" w:rsidRPr="0076424F" w:rsidRDefault="00D06DBF" w:rsidP="00093960">
            <w:pPr>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74" w:hanging="288"/>
              <w:jc w:val="left"/>
              <w:rPr>
                <w:rFonts w:ascii="Garamond" w:hAnsi="Garamond"/>
                <w:sz w:val="22"/>
                <w:szCs w:val="22"/>
              </w:rPr>
            </w:pPr>
            <w:proofErr w:type="gramStart"/>
            <w:r w:rsidRPr="0076424F">
              <w:rPr>
                <w:rFonts w:ascii="Garamond" w:hAnsi="Garamond"/>
                <w:sz w:val="22"/>
                <w:szCs w:val="22"/>
              </w:rPr>
              <w:t>area</w:t>
            </w:r>
            <w:proofErr w:type="gramEnd"/>
            <w:r w:rsidRPr="0076424F">
              <w:rPr>
                <w:rFonts w:ascii="Garamond" w:hAnsi="Garamond"/>
                <w:sz w:val="22"/>
                <w:szCs w:val="22"/>
              </w:rPr>
              <w:t xml:space="preserve"> to grow rice and cotton.</w:t>
            </w:r>
          </w:p>
          <w:p w:rsidR="00D06DBF" w:rsidRPr="0076424F" w:rsidRDefault="00D06DBF" w:rsidP="00093960">
            <w:pPr>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74" w:hanging="288"/>
              <w:jc w:val="left"/>
              <w:rPr>
                <w:rFonts w:ascii="Garamond" w:hAnsi="Garamond"/>
                <w:sz w:val="22"/>
                <w:szCs w:val="22"/>
              </w:rPr>
            </w:pPr>
            <w:proofErr w:type="gramStart"/>
            <w:r w:rsidRPr="0076424F">
              <w:rPr>
                <w:rFonts w:ascii="Garamond" w:hAnsi="Garamond"/>
                <w:sz w:val="22"/>
                <w:szCs w:val="22"/>
              </w:rPr>
              <w:t>safe</w:t>
            </w:r>
            <w:proofErr w:type="gramEnd"/>
            <w:r w:rsidRPr="0076424F">
              <w:rPr>
                <w:rFonts w:ascii="Garamond" w:hAnsi="Garamond"/>
                <w:sz w:val="22"/>
                <w:szCs w:val="22"/>
              </w:rPr>
              <w:t xml:space="preserve"> place for English debtors.</w:t>
            </w:r>
          </w:p>
          <w:p w:rsidR="00D06DBF" w:rsidRPr="0076424F" w:rsidRDefault="00D06DBF" w:rsidP="00093960">
            <w:pPr>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74" w:hanging="288"/>
              <w:jc w:val="left"/>
              <w:rPr>
                <w:rFonts w:ascii="Garamond" w:hAnsi="Garamond"/>
                <w:sz w:val="22"/>
                <w:szCs w:val="22"/>
              </w:rPr>
            </w:pPr>
            <w:proofErr w:type="gramStart"/>
            <w:r w:rsidRPr="0076424F">
              <w:rPr>
                <w:rFonts w:ascii="Garamond" w:hAnsi="Garamond"/>
                <w:sz w:val="22"/>
                <w:szCs w:val="22"/>
              </w:rPr>
              <w:t>colony</w:t>
            </w:r>
            <w:proofErr w:type="gramEnd"/>
            <w:r w:rsidRPr="0076424F">
              <w:rPr>
                <w:rFonts w:ascii="Garamond" w:hAnsi="Garamond"/>
                <w:sz w:val="22"/>
                <w:szCs w:val="22"/>
              </w:rPr>
              <w:t xml:space="preserve"> for indentured servants.</w:t>
            </w:r>
          </w:p>
          <w:p w:rsidR="00D06DBF" w:rsidRPr="0076424F" w:rsidRDefault="00D06DBF" w:rsidP="00093960">
            <w:pPr>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74" w:hanging="288"/>
              <w:jc w:val="left"/>
              <w:rPr>
                <w:rFonts w:ascii="Garamond" w:hAnsi="Garamond"/>
                <w:sz w:val="22"/>
                <w:szCs w:val="22"/>
              </w:rPr>
            </w:pPr>
            <w:proofErr w:type="gramStart"/>
            <w:r w:rsidRPr="0076424F">
              <w:rPr>
                <w:rFonts w:ascii="Garamond" w:hAnsi="Garamond"/>
                <w:sz w:val="22"/>
                <w:szCs w:val="22"/>
              </w:rPr>
              <w:t>refuge</w:t>
            </w:r>
            <w:proofErr w:type="gramEnd"/>
            <w:r w:rsidRPr="0076424F">
              <w:rPr>
                <w:rFonts w:ascii="Garamond" w:hAnsi="Garamond"/>
                <w:sz w:val="22"/>
                <w:szCs w:val="22"/>
              </w:rPr>
              <w:t xml:space="preserve"> for Roman Catholics. </w:t>
            </w:r>
          </w:p>
          <w:p w:rsidR="00D06DBF" w:rsidRPr="0076424F" w:rsidRDefault="00D06DBF" w:rsidP="0035076F">
            <w:pPr>
              <w:rPr>
                <w:rFonts w:ascii="Garamond" w:hAnsi="Garamond"/>
                <w:sz w:val="22"/>
                <w:szCs w:val="22"/>
              </w:rPr>
            </w:pPr>
          </w:p>
        </w:tc>
        <w:tc>
          <w:tcPr>
            <w:tcW w:w="2521" w:type="dxa"/>
            <w:tcBorders>
              <w:top w:val="single" w:sz="8" w:space="0" w:color="auto"/>
              <w:bottom w:val="single" w:sz="8" w:space="0" w:color="auto"/>
            </w:tcBorders>
          </w:tcPr>
          <w:p w:rsidR="00D06DBF" w:rsidRPr="0076424F" w:rsidRDefault="00D06DBF" w:rsidP="00D06DBF">
            <w:pPr>
              <w:spacing w:before="120"/>
              <w:jc w:val="left"/>
              <w:rPr>
                <w:rFonts w:ascii="Garamond" w:hAnsi="Garamond"/>
                <w:sz w:val="22"/>
                <w:szCs w:val="22"/>
              </w:rPr>
            </w:pPr>
            <w:r w:rsidRPr="0076424F">
              <w:rPr>
                <w:rFonts w:ascii="Garamond" w:hAnsi="Garamond"/>
                <w:i/>
                <w:sz w:val="22"/>
                <w:szCs w:val="22"/>
              </w:rPr>
              <w:t xml:space="preserve">Lower level. </w:t>
            </w:r>
            <w:r w:rsidRPr="0076424F">
              <w:rPr>
                <w:rFonts w:ascii="Garamond" w:hAnsi="Garamond"/>
                <w:sz w:val="22"/>
                <w:szCs w:val="22"/>
              </w:rPr>
              <w:t xml:space="preserve">This item requires students to demonstrate recall knowledge of Maryland settlers. This is a direct recall item that does not require analysis or application. </w:t>
            </w:r>
          </w:p>
        </w:tc>
      </w:tr>
      <w:tr w:rsidR="00D06DBF" w:rsidRPr="0021798E" w:rsidTr="00093960">
        <w:trPr>
          <w:jc w:val="center"/>
        </w:trPr>
        <w:tc>
          <w:tcPr>
            <w:tcW w:w="2486" w:type="dxa"/>
            <w:tcBorders>
              <w:top w:val="single" w:sz="8" w:space="0" w:color="auto"/>
              <w:bottom w:val="single" w:sz="18" w:space="0" w:color="auto"/>
            </w:tcBorders>
          </w:tcPr>
          <w:p w:rsidR="00D06DBF" w:rsidRPr="0076424F" w:rsidRDefault="00D06DBF" w:rsidP="00093960">
            <w:pPr>
              <w:tabs>
                <w:tab w:val="decimal" w:pos="-11155"/>
              </w:tabs>
              <w:jc w:val="left"/>
              <w:rPr>
                <w:rFonts w:ascii="Garamond" w:hAnsi="Garamond"/>
                <w:sz w:val="22"/>
                <w:szCs w:val="22"/>
              </w:rPr>
            </w:pPr>
          </w:p>
          <w:p w:rsidR="00D06DBF" w:rsidRPr="0076424F" w:rsidRDefault="00093960" w:rsidP="00093960">
            <w:pPr>
              <w:tabs>
                <w:tab w:val="decimal" w:pos="-11155"/>
              </w:tabs>
              <w:jc w:val="left"/>
              <w:rPr>
                <w:rFonts w:ascii="Garamond" w:hAnsi="Garamond"/>
                <w:sz w:val="22"/>
                <w:szCs w:val="22"/>
              </w:rPr>
            </w:pPr>
            <w:r>
              <w:rPr>
                <w:rFonts w:ascii="Garamond" w:hAnsi="Garamond"/>
                <w:sz w:val="22"/>
                <w:szCs w:val="22"/>
              </w:rPr>
              <w:t xml:space="preserve">2. </w:t>
            </w:r>
            <w:r w:rsidR="00D06DBF" w:rsidRPr="0076424F">
              <w:rPr>
                <w:rFonts w:ascii="Garamond" w:hAnsi="Garamond"/>
                <w:sz w:val="22"/>
                <w:szCs w:val="22"/>
              </w:rPr>
              <w:t xml:space="preserve">Which of the following people would </w:t>
            </w:r>
            <w:r w:rsidR="00D06DBF" w:rsidRPr="0076424F">
              <w:rPr>
                <w:rFonts w:ascii="Garamond" w:hAnsi="Garamond"/>
                <w:i/>
                <w:sz w:val="22"/>
                <w:szCs w:val="22"/>
              </w:rPr>
              <w:t xml:space="preserve">most </w:t>
            </w:r>
            <w:r w:rsidR="00D06DBF" w:rsidRPr="0076424F">
              <w:rPr>
                <w:rFonts w:ascii="Garamond" w:hAnsi="Garamond"/>
                <w:sz w:val="22"/>
                <w:szCs w:val="22"/>
              </w:rPr>
              <w:t>want to settle in Maryland?</w:t>
            </w:r>
          </w:p>
          <w:p w:rsidR="00D06DBF" w:rsidRPr="0076424F" w:rsidRDefault="00D06DBF" w:rsidP="00093960">
            <w:pPr>
              <w:tabs>
                <w:tab w:val="decimal" w:pos="-11155"/>
              </w:tabs>
              <w:jc w:val="left"/>
              <w:rPr>
                <w:rFonts w:ascii="Garamond" w:hAnsi="Garamond"/>
                <w:sz w:val="22"/>
                <w:szCs w:val="22"/>
              </w:rPr>
            </w:pPr>
          </w:p>
          <w:p w:rsidR="00D06DBF" w:rsidRPr="00093960" w:rsidRDefault="00D06DBF" w:rsidP="00093960">
            <w:pPr>
              <w:pStyle w:val="ListParagraph"/>
              <w:numPr>
                <w:ilvl w:val="0"/>
                <w:numId w:val="32"/>
              </w:numPr>
              <w:tabs>
                <w:tab w:val="clear" w:pos="720"/>
                <w:tab w:val="decimal" w:pos="-11155"/>
              </w:tabs>
              <w:ind w:left="374" w:hanging="288"/>
              <w:jc w:val="left"/>
              <w:rPr>
                <w:rFonts w:ascii="Garamond" w:hAnsi="Garamond"/>
                <w:sz w:val="22"/>
                <w:szCs w:val="22"/>
              </w:rPr>
            </w:pPr>
            <w:r w:rsidRPr="00093960">
              <w:rPr>
                <w:rFonts w:ascii="Garamond" w:hAnsi="Garamond"/>
                <w:sz w:val="22"/>
                <w:szCs w:val="22"/>
              </w:rPr>
              <w:t>A Catholic from southern England.</w:t>
            </w:r>
          </w:p>
          <w:p w:rsidR="00D06DBF" w:rsidRPr="00093960" w:rsidRDefault="00D06DBF" w:rsidP="00093960">
            <w:pPr>
              <w:pStyle w:val="ListParagraph"/>
              <w:numPr>
                <w:ilvl w:val="0"/>
                <w:numId w:val="32"/>
              </w:numPr>
              <w:tabs>
                <w:tab w:val="clear" w:pos="720"/>
                <w:tab w:val="decimal" w:pos="-11155"/>
              </w:tabs>
              <w:ind w:left="374" w:hanging="288"/>
              <w:jc w:val="left"/>
              <w:rPr>
                <w:rFonts w:ascii="Garamond" w:hAnsi="Garamond"/>
                <w:sz w:val="22"/>
                <w:szCs w:val="22"/>
              </w:rPr>
            </w:pPr>
            <w:r w:rsidRPr="00093960">
              <w:rPr>
                <w:rFonts w:ascii="Garamond" w:hAnsi="Garamond"/>
                <w:sz w:val="22"/>
                <w:szCs w:val="22"/>
              </w:rPr>
              <w:t>A debtor from an English Prison.</w:t>
            </w:r>
          </w:p>
          <w:p w:rsidR="00D06DBF" w:rsidRPr="00093960" w:rsidRDefault="00D06DBF" w:rsidP="00093960">
            <w:pPr>
              <w:pStyle w:val="ListParagraph"/>
              <w:numPr>
                <w:ilvl w:val="0"/>
                <w:numId w:val="32"/>
              </w:numPr>
              <w:tabs>
                <w:tab w:val="clear" w:pos="720"/>
                <w:tab w:val="decimal" w:pos="-11155"/>
              </w:tabs>
              <w:ind w:left="374" w:hanging="288"/>
              <w:jc w:val="left"/>
              <w:rPr>
                <w:rFonts w:ascii="Garamond" w:hAnsi="Garamond"/>
                <w:sz w:val="22"/>
                <w:szCs w:val="22"/>
              </w:rPr>
            </w:pPr>
            <w:r w:rsidRPr="00093960">
              <w:rPr>
                <w:rFonts w:ascii="Garamond" w:hAnsi="Garamond"/>
                <w:sz w:val="22"/>
                <w:szCs w:val="22"/>
              </w:rPr>
              <w:t>A tobacco planter.</w:t>
            </w:r>
          </w:p>
          <w:p w:rsidR="00D06DBF" w:rsidRPr="00093960" w:rsidRDefault="00D06DBF" w:rsidP="00093960">
            <w:pPr>
              <w:pStyle w:val="ListParagraph"/>
              <w:numPr>
                <w:ilvl w:val="0"/>
                <w:numId w:val="32"/>
              </w:numPr>
              <w:tabs>
                <w:tab w:val="clear" w:pos="720"/>
                <w:tab w:val="left" w:pos="1350"/>
              </w:tabs>
              <w:ind w:left="374" w:hanging="288"/>
              <w:jc w:val="left"/>
              <w:rPr>
                <w:rFonts w:ascii="Garamond" w:hAnsi="Garamond"/>
                <w:b/>
                <w:noProof/>
                <w:sz w:val="22"/>
                <w:szCs w:val="22"/>
              </w:rPr>
            </w:pPr>
            <w:r w:rsidRPr="00093960">
              <w:rPr>
                <w:rFonts w:ascii="Garamond" w:hAnsi="Garamond"/>
                <w:sz w:val="22"/>
                <w:szCs w:val="22"/>
              </w:rPr>
              <w:t>A French trapper.</w:t>
            </w:r>
            <w:r w:rsidRPr="00093960">
              <w:rPr>
                <w:rFonts w:ascii="Garamond" w:hAnsi="Garamond"/>
                <w:b/>
                <w:noProof/>
                <w:sz w:val="22"/>
                <w:szCs w:val="22"/>
              </w:rPr>
              <w:t xml:space="preserve"> </w:t>
            </w:r>
          </w:p>
          <w:p w:rsidR="00D06DBF" w:rsidRPr="0076424F" w:rsidRDefault="00D06DBF" w:rsidP="00093960">
            <w:pPr>
              <w:jc w:val="left"/>
              <w:rPr>
                <w:rFonts w:ascii="Garamond" w:hAnsi="Garamond"/>
                <w:sz w:val="22"/>
                <w:szCs w:val="22"/>
              </w:rPr>
            </w:pPr>
          </w:p>
        </w:tc>
        <w:tc>
          <w:tcPr>
            <w:tcW w:w="2554" w:type="dxa"/>
            <w:gridSpan w:val="2"/>
            <w:tcBorders>
              <w:top w:val="single" w:sz="8" w:space="0" w:color="auto"/>
              <w:bottom w:val="single" w:sz="18" w:space="0" w:color="auto"/>
            </w:tcBorders>
          </w:tcPr>
          <w:p w:rsidR="00D06DBF" w:rsidRPr="0076424F" w:rsidRDefault="00D06DBF" w:rsidP="00093960">
            <w:pPr>
              <w:jc w:val="left"/>
              <w:rPr>
                <w:rFonts w:ascii="Garamond" w:hAnsi="Garamond"/>
                <w:i/>
                <w:sz w:val="22"/>
                <w:szCs w:val="22"/>
              </w:rPr>
            </w:pPr>
          </w:p>
          <w:p w:rsidR="00D06DBF" w:rsidRPr="0076424F" w:rsidRDefault="00D06DBF" w:rsidP="00093960">
            <w:pPr>
              <w:jc w:val="left"/>
              <w:rPr>
                <w:rFonts w:ascii="Garamond" w:hAnsi="Garamond"/>
                <w:sz w:val="22"/>
                <w:szCs w:val="22"/>
              </w:rPr>
            </w:pPr>
            <w:r w:rsidRPr="0076424F">
              <w:rPr>
                <w:rFonts w:ascii="Garamond" w:hAnsi="Garamond"/>
                <w:i/>
                <w:sz w:val="22"/>
                <w:szCs w:val="22"/>
              </w:rPr>
              <w:t>Higher Level.</w:t>
            </w:r>
            <w:r w:rsidRPr="0076424F">
              <w:rPr>
                <w:rFonts w:ascii="Garamond" w:hAnsi="Garamond"/>
                <w:sz w:val="22"/>
                <w:szCs w:val="22"/>
              </w:rPr>
              <w:t xml:space="preserve"> This question requires students to apply what they know about the colony of Maryland, analyze each of the item options as potential Maryland settlers. </w:t>
            </w:r>
          </w:p>
        </w:tc>
      </w:tr>
    </w:tbl>
    <w:p w:rsidR="00D06DBF" w:rsidRPr="008A7293" w:rsidRDefault="00D06DBF" w:rsidP="00D06DBF">
      <w:pPr>
        <w:widowControl/>
        <w:spacing w:after="120"/>
        <w:rPr>
          <w:rFonts w:ascii="Garamond" w:hAnsi="Garamond"/>
        </w:rPr>
      </w:pPr>
    </w:p>
    <w:p w:rsidR="00CC05EB" w:rsidRPr="008A7293" w:rsidRDefault="00CC05EB" w:rsidP="00581E5A">
      <w:pPr>
        <w:widowControl/>
        <w:tabs>
          <w:tab w:val="left" w:pos="1350"/>
        </w:tabs>
        <w:spacing w:after="120"/>
        <w:ind w:firstLine="432"/>
        <w:rPr>
          <w:rFonts w:ascii="Garamond" w:hAnsi="Garamond"/>
        </w:rPr>
      </w:pPr>
      <w:r w:rsidRPr="008A7293">
        <w:rPr>
          <w:rFonts w:ascii="Garamond" w:hAnsi="Garamond"/>
        </w:rPr>
        <w:t xml:space="preserve">When considering test items people frequently confuse the type of item (e.g., multiple choice, true false, essay, etc.) with the type of thinking that is needed to respond to it. All types of item formats can </w:t>
      </w:r>
      <w:r w:rsidRPr="008A7293">
        <w:rPr>
          <w:rFonts w:ascii="Garamond" w:hAnsi="Garamond"/>
        </w:rPr>
        <w:lastRenderedPageBreak/>
        <w:t>be used to assess thinking at both high and low levels depending on the context of the question. For example an essay question might ask students to “Describe four causes of the Civil War.” On the surface this looks like a higher level question, and it could be. However, if students were taught “The four causes of the Civil War were…” verbatim from a text, then this item is really just a low-level recall task. Thus, the thinking level of each item needs to be considered in conjunction with the learning experience involved.  In order for teachers to make valid judgments about their students’ thinking and understanding then the thinking level of items need to match the thinking level of instruction. The Table of Specifications provides a strategy for teachers to improve the validity of the</w:t>
      </w:r>
      <w:r w:rsidR="00A12749">
        <w:rPr>
          <w:rFonts w:ascii="Garamond" w:hAnsi="Garamond"/>
        </w:rPr>
        <w:t xml:space="preserve"> judgments they make about their students from test responses</w:t>
      </w:r>
      <w:r w:rsidRPr="008A7293">
        <w:rPr>
          <w:rFonts w:ascii="Garamond" w:hAnsi="Garamond"/>
        </w:rPr>
        <w:t xml:space="preserve"> by providing content and response process evidence.  </w:t>
      </w:r>
    </w:p>
    <w:p w:rsidR="00CC05EB" w:rsidRPr="00581E5A" w:rsidRDefault="00CC05EB" w:rsidP="00581E5A">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jc w:val="center"/>
        <w:rPr>
          <w:rFonts w:ascii="Arial" w:hAnsi="Arial" w:cs="Arial"/>
          <w:b/>
          <w:bCs/>
          <w:color w:val="0000FF"/>
        </w:rPr>
      </w:pPr>
      <w:r w:rsidRPr="00581E5A">
        <w:rPr>
          <w:rFonts w:ascii="Arial" w:hAnsi="Arial" w:cs="Arial"/>
          <w:b/>
          <w:bCs/>
          <w:color w:val="0000FF"/>
        </w:rPr>
        <w:t>Using a Table of Specification to Support Validity</w:t>
      </w:r>
    </w:p>
    <w:p w:rsidR="00CC05EB" w:rsidRPr="008A7293" w:rsidRDefault="00CC05EB" w:rsidP="00581E5A">
      <w:pPr>
        <w:widowControl/>
        <w:spacing w:after="120"/>
        <w:ind w:firstLine="432"/>
        <w:rPr>
          <w:rFonts w:ascii="Garamond" w:hAnsi="Garamond"/>
        </w:rPr>
      </w:pPr>
      <w:r w:rsidRPr="008A7293">
        <w:rPr>
          <w:rFonts w:ascii="Garamond" w:hAnsi="Garamond"/>
        </w:rPr>
        <w:t>The TOS provides a two-way chart to help teachers relate their instructional objectives, the cognitive level of instruction, and the amount of the test that should assess each objective (</w:t>
      </w:r>
      <w:proofErr w:type="spellStart"/>
      <w:r w:rsidRPr="008A7293">
        <w:rPr>
          <w:rFonts w:ascii="Garamond" w:hAnsi="Garamond"/>
        </w:rPr>
        <w:t>Nortar</w:t>
      </w:r>
      <w:proofErr w:type="spellEnd"/>
      <w:r w:rsidRPr="008A7293">
        <w:rPr>
          <w:rFonts w:ascii="Garamond" w:hAnsi="Garamond"/>
        </w:rPr>
        <w:t xml:space="preserve"> et al., 2004). </w:t>
      </w:r>
      <w:r w:rsidR="006C304C" w:rsidRPr="006C304C">
        <w:rPr>
          <w:rFonts w:ascii="Garamond" w:hAnsi="Garamond"/>
        </w:rPr>
        <w:t>Table 3</w:t>
      </w:r>
      <w:r w:rsidRPr="008A7293">
        <w:rPr>
          <w:rFonts w:ascii="Garamond" w:hAnsi="Garamond"/>
        </w:rPr>
        <w:t>, illustrates a modified TOS used to develop a summative test for a unit of study in a 5</w:t>
      </w:r>
      <w:r w:rsidRPr="008A7293">
        <w:rPr>
          <w:rFonts w:ascii="Garamond" w:hAnsi="Garamond"/>
          <w:vertAlign w:val="superscript"/>
        </w:rPr>
        <w:t>th</w:t>
      </w:r>
      <w:r w:rsidRPr="008A7293">
        <w:rPr>
          <w:rFonts w:ascii="Garamond" w:hAnsi="Garamond"/>
        </w:rPr>
        <w:t xml:space="preserve"> grade Social Studies class. The TOS provides a framework for organizing information about the instructional activities experienced by the student. Take a few moments to review the TOS. Be aware that before the teacher can construct the TOS, he/she will need to determine (1) the number of test items to include and (2) the distribution of multiple choice and short answer items. In the following example, the teacher has decided to include 10 items (i.e., 7 multiple choice and 3 short </w:t>
      </w:r>
      <w:proofErr w:type="gramStart"/>
      <w:r w:rsidRPr="008A7293">
        <w:rPr>
          <w:rFonts w:ascii="Garamond" w:hAnsi="Garamond"/>
        </w:rPr>
        <w:t>answer</w:t>
      </w:r>
      <w:proofErr w:type="gramEnd"/>
      <w:r w:rsidRPr="008A7293">
        <w:rPr>
          <w:rFonts w:ascii="Garamond" w:hAnsi="Garamond"/>
        </w:rPr>
        <w:t xml:space="preserve">). The TOS provided here is simplified by limiting the levels of cognitive processing to high and low levels, rather than separating out across the six levels of cognitive processing identified by Bloom (1956) and updated by Anderson et al (2001). We do this for practical reasons, it is difficult to parse out test items by each level and teachers have limited time to engage in these activities. Furthermore, </w:t>
      </w:r>
      <w:r w:rsidRPr="008A7293">
        <w:rPr>
          <w:rFonts w:ascii="Garamond" w:eastAsia="Times New Roman" w:hAnsi="Garamond"/>
          <w:color w:val="000000"/>
        </w:rPr>
        <w:t xml:space="preserve">using this broader classification ameliorates the philosophical criticisms about the hierarchical nature of the </w:t>
      </w:r>
      <w:r w:rsidRPr="008A7293">
        <w:rPr>
          <w:rFonts w:ascii="Garamond" w:eastAsia="Times New Roman" w:hAnsi="Garamond"/>
          <w:color w:val="000000"/>
        </w:rPr>
        <w:lastRenderedPageBreak/>
        <w:t>taxonomy and the distinction among the categories (</w:t>
      </w:r>
      <w:proofErr w:type="spellStart"/>
      <w:r w:rsidRPr="008A7293">
        <w:rPr>
          <w:rFonts w:ascii="Garamond" w:eastAsia="Times New Roman" w:hAnsi="Garamond"/>
          <w:color w:val="000000"/>
        </w:rPr>
        <w:t>Kastberg</w:t>
      </w:r>
      <w:proofErr w:type="spellEnd"/>
      <w:r w:rsidRPr="008A7293">
        <w:rPr>
          <w:rFonts w:ascii="Garamond" w:eastAsia="Times New Roman" w:hAnsi="Garamond"/>
          <w:color w:val="000000"/>
        </w:rPr>
        <w:t xml:space="preserve">, 2003). </w:t>
      </w:r>
    </w:p>
    <w:p w:rsidR="00581E5A" w:rsidRDefault="00CC05EB" w:rsidP="00581E5A">
      <w:pPr>
        <w:widowControl/>
        <w:spacing w:after="120"/>
        <w:rPr>
          <w:rFonts w:ascii="Garamond" w:hAnsi="Garamond"/>
          <w:b/>
          <w:i/>
        </w:rPr>
      </w:pPr>
      <w:proofErr w:type="gramStart"/>
      <w:r w:rsidRPr="00581E5A">
        <w:rPr>
          <w:rFonts w:ascii="Garamond" w:hAnsi="Garamond" w:cs="Arial"/>
          <w:b/>
          <w:bCs/>
          <w:color w:val="0000FF"/>
        </w:rPr>
        <w:t>Evidence for test content</w:t>
      </w:r>
      <w:r w:rsidRPr="005310D4">
        <w:rPr>
          <w:rFonts w:ascii="Garamond" w:hAnsi="Garamond"/>
          <w:b/>
          <w:color w:val="0070C0"/>
        </w:rPr>
        <w:t>.</w:t>
      </w:r>
      <w:proofErr w:type="gramEnd"/>
      <w:r w:rsidRPr="008A7293">
        <w:rPr>
          <w:rFonts w:ascii="Garamond" w:hAnsi="Garamond"/>
          <w:b/>
          <w:i/>
        </w:rPr>
        <w:t xml:space="preserve"> </w:t>
      </w:r>
    </w:p>
    <w:p w:rsidR="00CC05EB" w:rsidRPr="008A7293" w:rsidRDefault="00CC05EB" w:rsidP="00581E5A">
      <w:pPr>
        <w:widowControl/>
        <w:spacing w:after="120"/>
        <w:ind w:firstLine="432"/>
        <w:rPr>
          <w:rFonts w:ascii="Garamond" w:hAnsi="Garamond"/>
        </w:rPr>
      </w:pPr>
      <w:r w:rsidRPr="008A7293">
        <w:rPr>
          <w:rFonts w:ascii="Garamond" w:hAnsi="Garamond"/>
        </w:rPr>
        <w:t xml:space="preserve">One approach to gathering evidence of test content for your classroom tests is to consider the amount of actual class time spent on each objective. Things that were discussed longer or in greater detail should appear in greater proportion on your test. This approach is particularly important for subject areas that teach a range of topics across a range of cognitive levels. In a given unit of study there should be a direct relation between the amount of class time spent on the objective and the portion of the final assessment testing that objective. If you only spent 10% of the instructional time on an objective, then the objective should only count for 10% of the assessment. A TOS provides a framework for making these decisions. </w:t>
      </w:r>
    </w:p>
    <w:p w:rsidR="00CC05EB" w:rsidRPr="008A7293" w:rsidRDefault="00CC05EB" w:rsidP="00581E5A">
      <w:pPr>
        <w:widowControl/>
        <w:spacing w:after="120"/>
        <w:ind w:firstLine="432"/>
        <w:rPr>
          <w:rFonts w:ascii="Garamond" w:hAnsi="Garamond"/>
        </w:rPr>
      </w:pPr>
      <w:r w:rsidRPr="008A7293">
        <w:rPr>
          <w:rFonts w:ascii="Garamond" w:hAnsi="Garamond"/>
        </w:rPr>
        <w:t xml:space="preserve">A review of </w:t>
      </w:r>
      <w:r w:rsidR="006C304C" w:rsidRPr="006C304C">
        <w:rPr>
          <w:rFonts w:ascii="Garamond" w:hAnsi="Garamond"/>
        </w:rPr>
        <w:t>Table 3</w:t>
      </w:r>
      <w:r w:rsidRPr="008A7293">
        <w:rPr>
          <w:rFonts w:ascii="Garamond" w:hAnsi="Garamond"/>
        </w:rPr>
        <w:t xml:space="preserve"> reveals a 7 column TOS (labeled A-G). The information in columns A, B, and C are taken directly from the teacher’s lesson plans and reflective notes. Using a TOS helps teachers to be accountable for the content they teach and the time they allocate to each objective (</w:t>
      </w:r>
      <w:proofErr w:type="spellStart"/>
      <w:r w:rsidRPr="008A7293">
        <w:rPr>
          <w:rFonts w:ascii="Garamond" w:hAnsi="Garamond"/>
        </w:rPr>
        <w:t>Nortar</w:t>
      </w:r>
      <w:proofErr w:type="spellEnd"/>
      <w:r w:rsidRPr="008A7293">
        <w:rPr>
          <w:rFonts w:ascii="Garamond" w:hAnsi="Garamond"/>
        </w:rPr>
        <w:t xml:space="preserve"> et al., 2004). The numbers in Column D are the result of a percentage calculation. These numbers reflect the percent of total class time for the unit of study that was spent on each objective. To determine the percentage of total class time that was spent on each objective you take the minutes spent on the objective (column C) divided by the total minutes (bottom of column C), multiplied by 100. For instance the last objective in the table was allocated 10% of the overall class time (15 minutes/150 minutes of total instruction * 100).  </w:t>
      </w:r>
    </w:p>
    <w:p w:rsidR="00581E5A" w:rsidRDefault="00CC05EB" w:rsidP="00581E5A">
      <w:pPr>
        <w:widowControl/>
        <w:spacing w:after="120"/>
        <w:rPr>
          <w:rFonts w:ascii="Garamond" w:hAnsi="Garamond" w:cs="Arial"/>
          <w:b/>
          <w:bCs/>
          <w:color w:val="0000FF"/>
        </w:rPr>
      </w:pPr>
      <w:r w:rsidRPr="00581E5A">
        <w:rPr>
          <w:rFonts w:ascii="Garamond" w:hAnsi="Garamond" w:cs="Arial"/>
          <w:b/>
          <w:bCs/>
          <w:color w:val="0000FF"/>
        </w:rPr>
        <w:t>How many items should be on your test?</w:t>
      </w:r>
    </w:p>
    <w:p w:rsidR="006C304C" w:rsidRDefault="00CC05EB" w:rsidP="00581E5A">
      <w:pPr>
        <w:widowControl/>
        <w:spacing w:after="120"/>
        <w:ind w:firstLine="432"/>
        <w:rPr>
          <w:rFonts w:ascii="Garamond" w:hAnsi="Garamond"/>
        </w:rPr>
      </w:pPr>
      <w:r w:rsidRPr="008A7293">
        <w:rPr>
          <w:rFonts w:ascii="Garamond" w:hAnsi="Garamond"/>
        </w:rPr>
        <w:t xml:space="preserve">In the top of Column E of </w:t>
      </w:r>
      <w:r w:rsidR="006C304C" w:rsidRPr="006C304C">
        <w:rPr>
          <w:rFonts w:ascii="Garamond" w:hAnsi="Garamond"/>
        </w:rPr>
        <w:t>Table 3</w:t>
      </w:r>
      <w:r w:rsidRPr="008A7293">
        <w:rPr>
          <w:rFonts w:ascii="Garamond" w:hAnsi="Garamond"/>
        </w:rPr>
        <w:t>, you should note that for this test the teacher has decided to use 10 items. The number of items to include on any given test is a professional decision made by the teacher based</w:t>
      </w:r>
      <w:r w:rsidR="00520EF8">
        <w:rPr>
          <w:rFonts w:ascii="Garamond" w:hAnsi="Garamond"/>
        </w:rPr>
        <w:t xml:space="preserve"> on</w:t>
      </w:r>
      <w:r w:rsidRPr="008A7293">
        <w:rPr>
          <w:rFonts w:ascii="Garamond" w:hAnsi="Garamond"/>
        </w:rPr>
        <w:t xml:space="preserve"> the number of objectives in the unit, his/her understanding of the students, the class time allocated for testing, and the importance of the assessment. Shorter assessments </w:t>
      </w:r>
      <w:r w:rsidRPr="008A7293">
        <w:rPr>
          <w:rFonts w:ascii="Garamond" w:hAnsi="Garamond"/>
          <w:i/>
        </w:rPr>
        <w:t>can</w:t>
      </w:r>
      <w:r w:rsidRPr="008A7293">
        <w:rPr>
          <w:rFonts w:ascii="Garamond" w:hAnsi="Garamond"/>
        </w:rPr>
        <w:t xml:space="preserve"> be valid, provided that the assessment includes ample evidence on which the teacher can base inferences about students’ scores. </w:t>
      </w:r>
      <w:r w:rsidRPr="008A7293">
        <w:rPr>
          <w:rFonts w:ascii="Garamond" w:hAnsi="Garamond"/>
        </w:rPr>
        <w:lastRenderedPageBreak/>
        <w:t>Typically, because longer tests can include a more representative sample of the instructional objectives and student performance, they generally allow for more</w:t>
      </w:r>
    </w:p>
    <w:p w:rsidR="00D60BC1" w:rsidRDefault="00D60BC1" w:rsidP="00581E5A">
      <w:pPr>
        <w:widowControl/>
        <w:spacing w:after="120"/>
        <w:ind w:firstLine="432"/>
        <w:rPr>
          <w:rFonts w:ascii="Garamond" w:hAnsi="Garamond"/>
        </w:rPr>
      </w:pPr>
      <w:r>
        <w:rPr>
          <w:rFonts w:ascii="Garamond" w:hAnsi="Garamond"/>
        </w:rPr>
        <w:lastRenderedPageBreak/>
        <w:br w:type="textWrapping" w:clear="all"/>
      </w:r>
    </w:p>
    <w:p w:rsidR="00D60BC1" w:rsidRDefault="00D60BC1" w:rsidP="00581E5A">
      <w:pPr>
        <w:widowControl/>
        <w:spacing w:after="120"/>
        <w:ind w:firstLine="432"/>
        <w:rPr>
          <w:rFonts w:ascii="Garamond" w:hAnsi="Garamond"/>
        </w:rPr>
        <w:sectPr w:rsidR="00D60BC1" w:rsidSect="00EF741B">
          <w:footerReference w:type="even" r:id="rId11"/>
          <w:footerReference w:type="default" r:id="rId12"/>
          <w:type w:val="continuous"/>
          <w:pgSz w:w="12240" w:h="15840" w:code="1"/>
          <w:pgMar w:top="432" w:right="720" w:bottom="432" w:left="720" w:header="720" w:footer="1440" w:gutter="0"/>
          <w:cols w:num="2" w:space="432"/>
          <w:noEndnote/>
        </w:sect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762"/>
        <w:gridCol w:w="1080"/>
        <w:gridCol w:w="990"/>
        <w:gridCol w:w="900"/>
        <w:gridCol w:w="1620"/>
        <w:gridCol w:w="1620"/>
      </w:tblGrid>
      <w:tr w:rsidR="00D60BC1" w:rsidRPr="00186DC0" w:rsidTr="006C304C">
        <w:trPr>
          <w:jc w:val="center"/>
        </w:trPr>
        <w:tc>
          <w:tcPr>
            <w:tcW w:w="10350" w:type="dxa"/>
            <w:gridSpan w:val="7"/>
            <w:tcBorders>
              <w:top w:val="nil"/>
              <w:left w:val="nil"/>
              <w:bottom w:val="single" w:sz="18" w:space="0" w:color="auto"/>
              <w:right w:val="nil"/>
            </w:tcBorders>
          </w:tcPr>
          <w:p w:rsidR="00D60BC1" w:rsidRPr="006C304C" w:rsidRDefault="00D60BC1" w:rsidP="0035076F">
            <w:pPr>
              <w:rPr>
                <w:rFonts w:ascii="Garamond" w:hAnsi="Garamond"/>
              </w:rPr>
            </w:pPr>
            <w:r w:rsidRPr="006C304C">
              <w:rPr>
                <w:rFonts w:ascii="Garamond" w:hAnsi="Garamond"/>
              </w:rPr>
              <w:lastRenderedPageBreak/>
              <w:t>Table 3: A Sample Table of Specifications for Fifth Grade Social Studies Chapter 6: The Middle Colonies</w:t>
            </w:r>
          </w:p>
        </w:tc>
      </w:tr>
      <w:tr w:rsidR="00D60BC1" w:rsidRPr="00186DC0" w:rsidTr="006C304C">
        <w:trPr>
          <w:jc w:val="center"/>
        </w:trPr>
        <w:tc>
          <w:tcPr>
            <w:tcW w:w="378" w:type="dxa"/>
            <w:tcBorders>
              <w:top w:val="single" w:sz="18" w:space="0" w:color="auto"/>
            </w:tcBorders>
            <w:shd w:val="clear" w:color="auto" w:fill="D9D9D9"/>
          </w:tcPr>
          <w:p w:rsidR="00D60BC1" w:rsidRPr="00186DC0" w:rsidRDefault="00D60BC1" w:rsidP="0035076F">
            <w:pPr>
              <w:jc w:val="center"/>
              <w:rPr>
                <w:rFonts w:ascii="Garamond" w:hAnsi="Garamond"/>
                <w:sz w:val="20"/>
                <w:szCs w:val="20"/>
              </w:rPr>
            </w:pPr>
            <w:r w:rsidRPr="00186DC0">
              <w:rPr>
                <w:rFonts w:ascii="Garamond" w:hAnsi="Garamond"/>
                <w:sz w:val="20"/>
                <w:szCs w:val="20"/>
              </w:rPr>
              <w:t>A</w:t>
            </w:r>
          </w:p>
        </w:tc>
        <w:tc>
          <w:tcPr>
            <w:tcW w:w="3762" w:type="dxa"/>
            <w:tcBorders>
              <w:top w:val="single" w:sz="18" w:space="0" w:color="auto"/>
            </w:tcBorders>
            <w:shd w:val="clear" w:color="auto" w:fill="D9D9D9"/>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B</w:t>
            </w:r>
          </w:p>
        </w:tc>
        <w:tc>
          <w:tcPr>
            <w:tcW w:w="1080" w:type="dxa"/>
            <w:tcBorders>
              <w:top w:val="single" w:sz="18" w:space="0" w:color="auto"/>
            </w:tcBorders>
            <w:shd w:val="clear" w:color="auto" w:fill="D9D9D9"/>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C</w:t>
            </w:r>
          </w:p>
        </w:tc>
        <w:tc>
          <w:tcPr>
            <w:tcW w:w="990" w:type="dxa"/>
            <w:tcBorders>
              <w:top w:val="single" w:sz="18" w:space="0" w:color="auto"/>
            </w:tcBorders>
            <w:shd w:val="clear" w:color="auto" w:fill="D9D9D9"/>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D</w:t>
            </w:r>
          </w:p>
        </w:tc>
        <w:tc>
          <w:tcPr>
            <w:tcW w:w="900" w:type="dxa"/>
            <w:tcBorders>
              <w:top w:val="single" w:sz="18" w:space="0" w:color="auto"/>
            </w:tcBorders>
            <w:shd w:val="clear" w:color="auto" w:fill="D9D9D9"/>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E</w:t>
            </w:r>
          </w:p>
        </w:tc>
        <w:tc>
          <w:tcPr>
            <w:tcW w:w="1620" w:type="dxa"/>
            <w:tcBorders>
              <w:top w:val="single" w:sz="18" w:space="0" w:color="auto"/>
            </w:tcBorders>
            <w:shd w:val="clear" w:color="auto" w:fill="D9D9D9"/>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F</w:t>
            </w:r>
          </w:p>
        </w:tc>
        <w:tc>
          <w:tcPr>
            <w:tcW w:w="1620" w:type="dxa"/>
            <w:tcBorders>
              <w:top w:val="single" w:sz="18" w:space="0" w:color="auto"/>
            </w:tcBorders>
            <w:shd w:val="clear" w:color="auto" w:fill="D9D9D9"/>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G</w:t>
            </w:r>
          </w:p>
        </w:tc>
      </w:tr>
      <w:tr w:rsidR="00D60BC1" w:rsidRPr="00186DC0" w:rsidTr="00D60BC1">
        <w:trPr>
          <w:trHeight w:val="1252"/>
          <w:jc w:val="center"/>
        </w:trPr>
        <w:tc>
          <w:tcPr>
            <w:tcW w:w="378" w:type="dxa"/>
          </w:tcPr>
          <w:p w:rsidR="00D60BC1" w:rsidRPr="00186DC0" w:rsidRDefault="00D60BC1" w:rsidP="0035076F">
            <w:pPr>
              <w:rPr>
                <w:rFonts w:ascii="Garamond" w:hAnsi="Garamond"/>
                <w:sz w:val="20"/>
                <w:szCs w:val="20"/>
              </w:rPr>
            </w:pPr>
          </w:p>
        </w:tc>
        <w:tc>
          <w:tcPr>
            <w:tcW w:w="3762" w:type="dxa"/>
            <w:vAlign w:val="center"/>
          </w:tcPr>
          <w:p w:rsidR="00D60BC1" w:rsidRPr="00186DC0" w:rsidRDefault="00D60BC1" w:rsidP="0035076F">
            <w:pPr>
              <w:rPr>
                <w:rFonts w:ascii="Garamond" w:hAnsi="Garamond"/>
                <w:sz w:val="20"/>
                <w:szCs w:val="20"/>
              </w:rPr>
            </w:pPr>
            <w:r w:rsidRPr="00186DC0">
              <w:rPr>
                <w:rFonts w:ascii="Garamond" w:hAnsi="Garamond"/>
                <w:sz w:val="20"/>
                <w:szCs w:val="20"/>
              </w:rPr>
              <w:t>Instructional Objectives</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Time Spent on Topic (minutes)</w:t>
            </w:r>
          </w:p>
        </w:tc>
        <w:tc>
          <w:tcPr>
            <w:tcW w:w="99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Percent of Class Time on Topic</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Number of Test Items:</w:t>
            </w:r>
          </w:p>
          <w:p w:rsidR="00D60BC1" w:rsidRPr="00186DC0" w:rsidRDefault="00D60BC1" w:rsidP="0035076F">
            <w:pPr>
              <w:jc w:val="center"/>
              <w:rPr>
                <w:rFonts w:ascii="Garamond" w:hAnsi="Garamond"/>
                <w:sz w:val="20"/>
                <w:szCs w:val="20"/>
              </w:rPr>
            </w:pPr>
            <w:r w:rsidRPr="00186DC0">
              <w:rPr>
                <w:rFonts w:ascii="Garamond" w:hAnsi="Garamond"/>
                <w:sz w:val="20"/>
                <w:szCs w:val="20"/>
              </w:rPr>
              <w:t>10</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Lower Levels</w:t>
            </w:r>
          </w:p>
          <w:p w:rsidR="00D60BC1" w:rsidRPr="00186DC0" w:rsidRDefault="00D60BC1" w:rsidP="0035076F">
            <w:pPr>
              <w:jc w:val="center"/>
              <w:rPr>
                <w:rFonts w:ascii="Garamond" w:hAnsi="Garamond"/>
                <w:sz w:val="20"/>
                <w:szCs w:val="20"/>
              </w:rPr>
            </w:pPr>
            <w:r w:rsidRPr="00186DC0">
              <w:rPr>
                <w:rFonts w:ascii="Garamond" w:hAnsi="Garamond"/>
                <w:sz w:val="20"/>
                <w:szCs w:val="20"/>
              </w:rPr>
              <w:t>-Knowledge</w:t>
            </w:r>
          </w:p>
          <w:p w:rsidR="00D60BC1" w:rsidRPr="00186DC0" w:rsidRDefault="00D60BC1" w:rsidP="0035076F">
            <w:pPr>
              <w:ind w:right="-108"/>
              <w:jc w:val="center"/>
              <w:rPr>
                <w:rFonts w:ascii="Garamond" w:hAnsi="Garamond"/>
                <w:sz w:val="20"/>
                <w:szCs w:val="20"/>
              </w:rPr>
            </w:pPr>
            <w:r w:rsidRPr="00186DC0">
              <w:rPr>
                <w:rFonts w:ascii="Garamond" w:hAnsi="Garamond"/>
                <w:sz w:val="20"/>
                <w:szCs w:val="20"/>
              </w:rPr>
              <w:t>-Recall</w:t>
            </w:r>
          </w:p>
          <w:p w:rsidR="00D60BC1" w:rsidRPr="00186DC0" w:rsidRDefault="00D60BC1" w:rsidP="0035076F">
            <w:pPr>
              <w:jc w:val="center"/>
              <w:rPr>
                <w:rFonts w:ascii="Garamond" w:hAnsi="Garamond"/>
                <w:sz w:val="20"/>
                <w:szCs w:val="20"/>
              </w:rPr>
            </w:pPr>
            <w:r w:rsidRPr="00186DC0">
              <w:rPr>
                <w:rFonts w:ascii="Garamond" w:hAnsi="Garamond"/>
                <w:sz w:val="20"/>
                <w:szCs w:val="20"/>
              </w:rPr>
              <w:t>-Identification</w:t>
            </w:r>
          </w:p>
          <w:p w:rsidR="00D60BC1" w:rsidRPr="00186DC0" w:rsidRDefault="00D60BC1" w:rsidP="0035076F">
            <w:pPr>
              <w:jc w:val="center"/>
              <w:rPr>
                <w:rFonts w:ascii="Garamond" w:hAnsi="Garamond"/>
                <w:sz w:val="20"/>
                <w:szCs w:val="20"/>
              </w:rPr>
            </w:pPr>
            <w:r w:rsidRPr="00186DC0">
              <w:rPr>
                <w:rFonts w:ascii="Garamond" w:hAnsi="Garamond"/>
                <w:sz w:val="20"/>
                <w:szCs w:val="20"/>
              </w:rPr>
              <w:t>-Comprehension</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Higher Levels</w:t>
            </w:r>
          </w:p>
          <w:p w:rsidR="00D60BC1" w:rsidRPr="00186DC0" w:rsidRDefault="00D60BC1" w:rsidP="0035076F">
            <w:pPr>
              <w:jc w:val="center"/>
              <w:rPr>
                <w:rFonts w:ascii="Garamond" w:hAnsi="Garamond"/>
                <w:sz w:val="20"/>
                <w:szCs w:val="20"/>
              </w:rPr>
            </w:pPr>
            <w:r w:rsidRPr="00186DC0">
              <w:rPr>
                <w:rFonts w:ascii="Garamond" w:hAnsi="Garamond"/>
                <w:sz w:val="20"/>
                <w:szCs w:val="20"/>
              </w:rPr>
              <w:t>-Application</w:t>
            </w:r>
          </w:p>
          <w:p w:rsidR="00D60BC1" w:rsidRPr="00186DC0" w:rsidRDefault="00D60BC1" w:rsidP="0035076F">
            <w:pPr>
              <w:jc w:val="center"/>
              <w:rPr>
                <w:rFonts w:ascii="Garamond" w:hAnsi="Garamond"/>
                <w:sz w:val="20"/>
                <w:szCs w:val="20"/>
              </w:rPr>
            </w:pPr>
            <w:r w:rsidRPr="00186DC0">
              <w:rPr>
                <w:rFonts w:ascii="Garamond" w:hAnsi="Garamond"/>
                <w:sz w:val="20"/>
                <w:szCs w:val="20"/>
              </w:rPr>
              <w:t>-Analysis</w:t>
            </w:r>
          </w:p>
          <w:p w:rsidR="00D60BC1" w:rsidRPr="00186DC0" w:rsidRDefault="00D60BC1" w:rsidP="0035076F">
            <w:pPr>
              <w:jc w:val="center"/>
              <w:rPr>
                <w:rFonts w:ascii="Garamond" w:hAnsi="Garamond"/>
                <w:sz w:val="20"/>
                <w:szCs w:val="20"/>
              </w:rPr>
            </w:pPr>
            <w:r w:rsidRPr="00186DC0">
              <w:rPr>
                <w:rFonts w:ascii="Garamond" w:hAnsi="Garamond"/>
                <w:sz w:val="20"/>
                <w:szCs w:val="20"/>
              </w:rPr>
              <w:t>-Evaluation</w:t>
            </w:r>
          </w:p>
          <w:p w:rsidR="00D60BC1" w:rsidRPr="00186DC0" w:rsidRDefault="00D60BC1" w:rsidP="0035076F">
            <w:pPr>
              <w:jc w:val="center"/>
              <w:rPr>
                <w:rFonts w:ascii="Garamond" w:hAnsi="Garamond"/>
                <w:sz w:val="20"/>
                <w:szCs w:val="20"/>
              </w:rPr>
            </w:pPr>
            <w:r w:rsidRPr="00186DC0">
              <w:rPr>
                <w:rFonts w:ascii="Garamond" w:hAnsi="Garamond"/>
                <w:sz w:val="20"/>
                <w:szCs w:val="20"/>
              </w:rPr>
              <w:t>-Synthesis</w:t>
            </w:r>
          </w:p>
        </w:tc>
      </w:tr>
      <w:tr w:rsidR="00D60BC1" w:rsidRPr="00186DC0" w:rsidTr="00D60BC1">
        <w:trPr>
          <w:cantSplit/>
          <w:trHeight w:val="640"/>
          <w:jc w:val="center"/>
        </w:trPr>
        <w:tc>
          <w:tcPr>
            <w:tcW w:w="378" w:type="dxa"/>
            <w:vMerge w:val="restart"/>
            <w:textDirection w:val="btLr"/>
            <w:vAlign w:val="center"/>
          </w:tcPr>
          <w:p w:rsidR="00D60BC1" w:rsidRPr="00186DC0" w:rsidRDefault="00D60BC1" w:rsidP="0035076F">
            <w:pPr>
              <w:ind w:left="113" w:right="113"/>
              <w:jc w:val="center"/>
              <w:rPr>
                <w:rFonts w:ascii="Garamond" w:hAnsi="Garamond"/>
                <w:sz w:val="20"/>
                <w:szCs w:val="20"/>
              </w:rPr>
            </w:pPr>
            <w:r w:rsidRPr="00186DC0">
              <w:rPr>
                <w:rFonts w:ascii="Garamond" w:hAnsi="Garamond"/>
                <w:sz w:val="20"/>
                <w:szCs w:val="20"/>
              </w:rPr>
              <w:t>Day 1</w:t>
            </w: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Garamond" w:hAnsi="Garamond"/>
                <w:sz w:val="20"/>
                <w:szCs w:val="20"/>
              </w:rPr>
            </w:pPr>
            <w:r w:rsidRPr="00186DC0">
              <w:rPr>
                <w:rFonts w:ascii="Garamond" w:hAnsi="Garamond"/>
                <w:sz w:val="20"/>
                <w:szCs w:val="20"/>
              </w:rPr>
              <w:t>Identify the various groups who settled the Middle Atlantic Colonies.</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15</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10.00%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1.00</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Multiple Choice</w:t>
            </w:r>
          </w:p>
        </w:tc>
        <w:tc>
          <w:tcPr>
            <w:tcW w:w="1620" w:type="dxa"/>
            <w:vAlign w:val="center"/>
          </w:tcPr>
          <w:p w:rsidR="00D60BC1" w:rsidRPr="00186DC0" w:rsidRDefault="00D60BC1" w:rsidP="0035076F">
            <w:pPr>
              <w:jc w:val="center"/>
              <w:rPr>
                <w:rFonts w:ascii="Garamond" w:hAnsi="Garamond"/>
                <w:sz w:val="20"/>
                <w:szCs w:val="20"/>
              </w:rPr>
            </w:pPr>
          </w:p>
        </w:tc>
      </w:tr>
      <w:tr w:rsidR="00D60BC1" w:rsidRPr="00186DC0" w:rsidTr="00D60BC1">
        <w:trPr>
          <w:cantSplit/>
          <w:trHeight w:val="414"/>
          <w:jc w:val="center"/>
        </w:trPr>
        <w:tc>
          <w:tcPr>
            <w:tcW w:w="378" w:type="dxa"/>
            <w:vMerge/>
            <w:textDirection w:val="btLr"/>
            <w:vAlign w:val="center"/>
          </w:tcPr>
          <w:p w:rsidR="00D60BC1" w:rsidRPr="00186DC0" w:rsidRDefault="00D60BC1" w:rsidP="0035076F">
            <w:pPr>
              <w:ind w:left="113" w:right="113"/>
              <w:jc w:val="center"/>
              <w:rPr>
                <w:rFonts w:ascii="Garamond" w:hAnsi="Garamond"/>
                <w:sz w:val="20"/>
                <w:szCs w:val="20"/>
              </w:rPr>
            </w:pP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Summarize the contributions of different religious and cultural groups to the settlement of the Middle Atlantic Colonies.</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15</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10.00%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1.00</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Short Answer</w:t>
            </w:r>
          </w:p>
        </w:tc>
        <w:tc>
          <w:tcPr>
            <w:tcW w:w="1620" w:type="dxa"/>
            <w:vAlign w:val="center"/>
          </w:tcPr>
          <w:p w:rsidR="00D60BC1" w:rsidRPr="00186DC0" w:rsidRDefault="00D60BC1" w:rsidP="0035076F">
            <w:pPr>
              <w:jc w:val="center"/>
              <w:rPr>
                <w:rFonts w:ascii="Garamond" w:hAnsi="Garamond"/>
                <w:sz w:val="20"/>
                <w:szCs w:val="20"/>
              </w:rPr>
            </w:pPr>
          </w:p>
        </w:tc>
      </w:tr>
      <w:tr w:rsidR="00D60BC1" w:rsidRPr="00186DC0" w:rsidTr="00D60BC1">
        <w:trPr>
          <w:cantSplit/>
          <w:trHeight w:val="586"/>
          <w:jc w:val="center"/>
        </w:trPr>
        <w:tc>
          <w:tcPr>
            <w:tcW w:w="378" w:type="dxa"/>
            <w:vMerge w:val="restart"/>
            <w:textDirection w:val="btLr"/>
            <w:vAlign w:val="center"/>
          </w:tcPr>
          <w:p w:rsidR="00D60BC1" w:rsidRPr="00186DC0" w:rsidRDefault="00D60BC1" w:rsidP="0035076F">
            <w:pPr>
              <w:ind w:left="113" w:right="113"/>
              <w:jc w:val="center"/>
              <w:rPr>
                <w:rFonts w:ascii="Garamond" w:hAnsi="Garamond"/>
                <w:sz w:val="20"/>
                <w:szCs w:val="20"/>
              </w:rPr>
            </w:pPr>
            <w:r w:rsidRPr="00186DC0">
              <w:rPr>
                <w:rFonts w:ascii="Garamond" w:hAnsi="Garamond"/>
                <w:sz w:val="20"/>
                <w:szCs w:val="20"/>
              </w:rPr>
              <w:t>Day 2</w:t>
            </w: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Identify George Whitefield as an early leader of the Great Awakening</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6.70%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.67</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Multiple Choice</w:t>
            </w:r>
          </w:p>
        </w:tc>
        <w:tc>
          <w:tcPr>
            <w:tcW w:w="1620" w:type="dxa"/>
            <w:vAlign w:val="center"/>
          </w:tcPr>
          <w:p w:rsidR="00D60BC1" w:rsidRPr="00186DC0" w:rsidRDefault="00D60BC1" w:rsidP="0035076F">
            <w:pPr>
              <w:jc w:val="center"/>
              <w:rPr>
                <w:rFonts w:ascii="Garamond" w:hAnsi="Garamond"/>
                <w:sz w:val="20"/>
                <w:szCs w:val="20"/>
              </w:rPr>
            </w:pPr>
          </w:p>
        </w:tc>
      </w:tr>
      <w:tr w:rsidR="00D60BC1" w:rsidRPr="00186DC0" w:rsidTr="00D60BC1">
        <w:trPr>
          <w:cantSplit/>
          <w:trHeight w:val="414"/>
          <w:jc w:val="center"/>
        </w:trPr>
        <w:tc>
          <w:tcPr>
            <w:tcW w:w="378" w:type="dxa"/>
            <w:vMerge/>
            <w:textDirection w:val="btLr"/>
            <w:vAlign w:val="center"/>
          </w:tcPr>
          <w:p w:rsidR="00D60BC1" w:rsidRPr="00186DC0" w:rsidRDefault="00D60BC1" w:rsidP="0035076F">
            <w:pPr>
              <w:ind w:left="113" w:right="113"/>
              <w:jc w:val="center"/>
              <w:rPr>
                <w:rFonts w:ascii="Garamond" w:hAnsi="Garamond"/>
                <w:sz w:val="20"/>
                <w:szCs w:val="20"/>
              </w:rPr>
            </w:pP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Evaluate the impact of the Great Awakening sermons on English colonists.</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20</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13.30%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1.33</w:t>
            </w:r>
          </w:p>
        </w:tc>
        <w:tc>
          <w:tcPr>
            <w:tcW w:w="1620" w:type="dxa"/>
            <w:vAlign w:val="center"/>
          </w:tcPr>
          <w:p w:rsidR="00D60BC1" w:rsidRPr="00186DC0" w:rsidRDefault="00D60BC1" w:rsidP="0035076F">
            <w:pPr>
              <w:jc w:val="center"/>
              <w:rPr>
                <w:rFonts w:ascii="Garamond" w:hAnsi="Garamond"/>
                <w:sz w:val="20"/>
                <w:szCs w:val="20"/>
              </w:rPr>
            </w:pP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Multiple Choice</w:t>
            </w:r>
          </w:p>
        </w:tc>
      </w:tr>
      <w:tr w:rsidR="00D60BC1" w:rsidRPr="00186DC0" w:rsidTr="00D60BC1">
        <w:trPr>
          <w:cantSplit/>
          <w:trHeight w:val="820"/>
          <w:jc w:val="center"/>
        </w:trPr>
        <w:tc>
          <w:tcPr>
            <w:tcW w:w="378" w:type="dxa"/>
            <w:vMerge w:val="restart"/>
            <w:textDirection w:val="btLr"/>
            <w:vAlign w:val="center"/>
          </w:tcPr>
          <w:p w:rsidR="00D60BC1" w:rsidRPr="00186DC0" w:rsidRDefault="00D60BC1" w:rsidP="0035076F">
            <w:pPr>
              <w:ind w:left="113" w:right="113"/>
              <w:jc w:val="center"/>
              <w:rPr>
                <w:rFonts w:ascii="Garamond" w:hAnsi="Garamond"/>
                <w:sz w:val="20"/>
                <w:szCs w:val="20"/>
              </w:rPr>
            </w:pPr>
            <w:r w:rsidRPr="00186DC0">
              <w:rPr>
                <w:rFonts w:ascii="Garamond" w:hAnsi="Garamond"/>
                <w:sz w:val="20"/>
                <w:szCs w:val="20"/>
              </w:rPr>
              <w:t>Day 3</w:t>
            </w: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Describe the physical features that helped Philadelphia become a main port.</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15</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10.0%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1.00</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Multiple Choice</w:t>
            </w:r>
          </w:p>
        </w:tc>
        <w:tc>
          <w:tcPr>
            <w:tcW w:w="1620" w:type="dxa"/>
            <w:vAlign w:val="center"/>
          </w:tcPr>
          <w:p w:rsidR="00D60BC1" w:rsidRPr="00186DC0" w:rsidRDefault="00D60BC1" w:rsidP="0035076F">
            <w:pPr>
              <w:rPr>
                <w:rFonts w:ascii="Garamond" w:hAnsi="Garamond"/>
                <w:sz w:val="20"/>
                <w:szCs w:val="20"/>
              </w:rPr>
            </w:pPr>
          </w:p>
        </w:tc>
      </w:tr>
      <w:tr w:rsidR="00D60BC1" w:rsidRPr="00186DC0" w:rsidTr="00D60BC1">
        <w:trPr>
          <w:cantSplit/>
          <w:trHeight w:val="613"/>
          <w:jc w:val="center"/>
        </w:trPr>
        <w:tc>
          <w:tcPr>
            <w:tcW w:w="378" w:type="dxa"/>
            <w:vMerge/>
            <w:textDirection w:val="btLr"/>
            <w:vAlign w:val="center"/>
          </w:tcPr>
          <w:p w:rsidR="00D60BC1" w:rsidRPr="00186DC0" w:rsidRDefault="00D60BC1" w:rsidP="0035076F">
            <w:pPr>
              <w:ind w:left="113" w:right="113"/>
              <w:jc w:val="center"/>
              <w:rPr>
                <w:rFonts w:ascii="Garamond" w:hAnsi="Garamond"/>
                <w:sz w:val="20"/>
                <w:szCs w:val="20"/>
              </w:rPr>
            </w:pP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List ways in which immigrants aided Philadelphia’s growth and prosperity.</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6.70%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.67</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Short Answer</w:t>
            </w:r>
          </w:p>
        </w:tc>
        <w:tc>
          <w:tcPr>
            <w:tcW w:w="1620" w:type="dxa"/>
            <w:vAlign w:val="center"/>
          </w:tcPr>
          <w:p w:rsidR="00D60BC1" w:rsidRPr="00186DC0" w:rsidRDefault="00D60BC1" w:rsidP="0035076F">
            <w:pPr>
              <w:jc w:val="center"/>
              <w:rPr>
                <w:rFonts w:ascii="Garamond" w:hAnsi="Garamond"/>
                <w:sz w:val="20"/>
                <w:szCs w:val="20"/>
              </w:rPr>
            </w:pPr>
          </w:p>
        </w:tc>
      </w:tr>
      <w:tr w:rsidR="00D60BC1" w:rsidRPr="00186DC0" w:rsidTr="00D60BC1">
        <w:trPr>
          <w:cantSplit/>
          <w:trHeight w:val="676"/>
          <w:jc w:val="center"/>
        </w:trPr>
        <w:tc>
          <w:tcPr>
            <w:tcW w:w="378" w:type="dxa"/>
            <w:vMerge/>
            <w:textDirection w:val="btLr"/>
            <w:vAlign w:val="center"/>
          </w:tcPr>
          <w:p w:rsidR="00D60BC1" w:rsidRPr="00186DC0" w:rsidRDefault="00D60BC1" w:rsidP="0035076F">
            <w:pPr>
              <w:ind w:left="113" w:right="113"/>
              <w:jc w:val="center"/>
              <w:rPr>
                <w:rFonts w:ascii="Garamond" w:hAnsi="Garamond"/>
                <w:sz w:val="20"/>
                <w:szCs w:val="20"/>
              </w:rPr>
            </w:pP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Identify the contributions Benjamin Franklin made to Philadelphia.</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5</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3.30%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.33</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w:t>
            </w:r>
          </w:p>
        </w:tc>
        <w:tc>
          <w:tcPr>
            <w:tcW w:w="1620" w:type="dxa"/>
            <w:vAlign w:val="center"/>
          </w:tcPr>
          <w:p w:rsidR="00D60BC1" w:rsidRPr="00186DC0" w:rsidRDefault="00D60BC1" w:rsidP="0035076F">
            <w:pPr>
              <w:jc w:val="center"/>
              <w:rPr>
                <w:rFonts w:ascii="Garamond" w:hAnsi="Garamond"/>
                <w:sz w:val="20"/>
                <w:szCs w:val="20"/>
              </w:rPr>
            </w:pPr>
          </w:p>
        </w:tc>
      </w:tr>
      <w:tr w:rsidR="00D60BC1" w:rsidRPr="00186DC0" w:rsidTr="00D60BC1">
        <w:trPr>
          <w:cantSplit/>
          <w:trHeight w:val="469"/>
          <w:jc w:val="center"/>
        </w:trPr>
        <w:tc>
          <w:tcPr>
            <w:tcW w:w="378" w:type="dxa"/>
            <w:vMerge w:val="restart"/>
            <w:textDirection w:val="btLr"/>
            <w:vAlign w:val="center"/>
          </w:tcPr>
          <w:p w:rsidR="00D60BC1" w:rsidRPr="00186DC0" w:rsidRDefault="00D60BC1" w:rsidP="0035076F">
            <w:pPr>
              <w:ind w:left="113" w:right="113"/>
              <w:jc w:val="center"/>
              <w:rPr>
                <w:rFonts w:ascii="Garamond" w:hAnsi="Garamond"/>
                <w:sz w:val="20"/>
                <w:szCs w:val="20"/>
              </w:rPr>
            </w:pPr>
            <w:r w:rsidRPr="00186DC0">
              <w:rPr>
                <w:rFonts w:ascii="Garamond" w:hAnsi="Garamond"/>
                <w:sz w:val="20"/>
                <w:szCs w:val="20"/>
              </w:rPr>
              <w:t>Day 4</w:t>
            </w: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42" w:hanging="342"/>
              <w:jc w:val="left"/>
              <w:rPr>
                <w:rFonts w:ascii="Garamond" w:hAnsi="Garamond"/>
                <w:sz w:val="20"/>
                <w:szCs w:val="20"/>
              </w:rPr>
            </w:pPr>
            <w:r w:rsidRPr="00186DC0">
              <w:rPr>
                <w:rFonts w:ascii="Garamond" w:hAnsi="Garamond"/>
                <w:sz w:val="20"/>
                <w:szCs w:val="20"/>
              </w:rPr>
              <w:t>Interpret information in a circle graph.</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15</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10.00%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1.00</w:t>
            </w:r>
          </w:p>
        </w:tc>
        <w:tc>
          <w:tcPr>
            <w:tcW w:w="1620" w:type="dxa"/>
            <w:vAlign w:val="center"/>
          </w:tcPr>
          <w:p w:rsidR="00D60BC1" w:rsidRPr="00186DC0" w:rsidRDefault="00D60BC1" w:rsidP="0035076F">
            <w:pPr>
              <w:jc w:val="center"/>
              <w:rPr>
                <w:rFonts w:ascii="Garamond" w:hAnsi="Garamond"/>
                <w:sz w:val="20"/>
                <w:szCs w:val="20"/>
              </w:rPr>
            </w:pP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Multiple Choice</w:t>
            </w:r>
          </w:p>
        </w:tc>
      </w:tr>
      <w:tr w:rsidR="00D60BC1" w:rsidRPr="00186DC0" w:rsidTr="00D60BC1">
        <w:trPr>
          <w:cantSplit/>
          <w:trHeight w:val="414"/>
          <w:jc w:val="center"/>
        </w:trPr>
        <w:tc>
          <w:tcPr>
            <w:tcW w:w="378" w:type="dxa"/>
            <w:vMerge/>
            <w:textDirection w:val="btLr"/>
            <w:vAlign w:val="center"/>
          </w:tcPr>
          <w:p w:rsidR="00D60BC1" w:rsidRPr="00186DC0" w:rsidRDefault="00D60BC1" w:rsidP="0035076F">
            <w:pPr>
              <w:ind w:left="113" w:right="113"/>
              <w:jc w:val="center"/>
              <w:rPr>
                <w:rFonts w:ascii="Garamond" w:hAnsi="Garamond"/>
                <w:sz w:val="20"/>
                <w:szCs w:val="20"/>
              </w:rPr>
            </w:pP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Gather and organize information using a circle graph.</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15</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10.00%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1.00</w:t>
            </w:r>
          </w:p>
        </w:tc>
        <w:tc>
          <w:tcPr>
            <w:tcW w:w="1620" w:type="dxa"/>
            <w:vAlign w:val="center"/>
          </w:tcPr>
          <w:p w:rsidR="00D60BC1" w:rsidRPr="00186DC0" w:rsidRDefault="00D60BC1" w:rsidP="0035076F">
            <w:pPr>
              <w:jc w:val="center"/>
              <w:rPr>
                <w:rFonts w:ascii="Garamond" w:hAnsi="Garamond"/>
                <w:sz w:val="20"/>
                <w:szCs w:val="20"/>
              </w:rPr>
            </w:pP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Short Answer</w:t>
            </w:r>
          </w:p>
        </w:tc>
      </w:tr>
      <w:tr w:rsidR="00D60BC1" w:rsidRPr="00186DC0" w:rsidTr="00D60BC1">
        <w:trPr>
          <w:cantSplit/>
          <w:trHeight w:val="595"/>
          <w:jc w:val="center"/>
        </w:trPr>
        <w:tc>
          <w:tcPr>
            <w:tcW w:w="378" w:type="dxa"/>
            <w:vMerge w:val="restart"/>
            <w:textDirection w:val="btLr"/>
            <w:vAlign w:val="center"/>
          </w:tcPr>
          <w:p w:rsidR="00D60BC1" w:rsidRPr="00186DC0" w:rsidRDefault="00D60BC1" w:rsidP="0035076F">
            <w:pPr>
              <w:ind w:left="113" w:right="113"/>
              <w:jc w:val="center"/>
              <w:rPr>
                <w:rFonts w:ascii="Garamond" w:hAnsi="Garamond"/>
                <w:sz w:val="20"/>
                <w:szCs w:val="20"/>
              </w:rPr>
            </w:pPr>
            <w:r w:rsidRPr="00186DC0">
              <w:rPr>
                <w:rFonts w:ascii="Garamond" w:hAnsi="Garamond"/>
                <w:sz w:val="20"/>
                <w:szCs w:val="20"/>
              </w:rPr>
              <w:t>Day 5</w:t>
            </w: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Identify the challenges faced by backcountry settlers.</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5</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3.30%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.33</w:t>
            </w: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w:t>
            </w:r>
          </w:p>
        </w:tc>
        <w:tc>
          <w:tcPr>
            <w:tcW w:w="1620" w:type="dxa"/>
            <w:vAlign w:val="center"/>
          </w:tcPr>
          <w:p w:rsidR="00D60BC1" w:rsidRPr="00186DC0" w:rsidRDefault="00D60BC1" w:rsidP="0035076F">
            <w:pPr>
              <w:jc w:val="center"/>
              <w:rPr>
                <w:rFonts w:ascii="Garamond" w:hAnsi="Garamond"/>
                <w:sz w:val="20"/>
                <w:szCs w:val="20"/>
              </w:rPr>
            </w:pPr>
          </w:p>
        </w:tc>
      </w:tr>
      <w:tr w:rsidR="00D60BC1" w:rsidRPr="00186DC0" w:rsidTr="00D60BC1">
        <w:trPr>
          <w:cantSplit/>
          <w:trHeight w:val="811"/>
          <w:jc w:val="center"/>
        </w:trPr>
        <w:tc>
          <w:tcPr>
            <w:tcW w:w="378" w:type="dxa"/>
            <w:vMerge/>
          </w:tcPr>
          <w:p w:rsidR="00D60BC1" w:rsidRPr="00186DC0" w:rsidRDefault="00D60BC1" w:rsidP="0035076F">
            <w:pPr>
              <w:rPr>
                <w:rFonts w:ascii="Garamond" w:hAnsi="Garamond"/>
                <w:sz w:val="20"/>
                <w:szCs w:val="20"/>
              </w:rPr>
            </w:pPr>
          </w:p>
        </w:tc>
        <w:tc>
          <w:tcPr>
            <w:tcW w:w="3762" w:type="dxa"/>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Analyze the importance of the Great Wagon Road as an early transportation route.</w:t>
            </w:r>
          </w:p>
        </w:tc>
        <w:tc>
          <w:tcPr>
            <w:tcW w:w="108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w:t>
            </w:r>
          </w:p>
        </w:tc>
        <w:tc>
          <w:tcPr>
            <w:tcW w:w="990" w:type="dxa"/>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6.70%</w:t>
            </w:r>
          </w:p>
        </w:tc>
        <w:tc>
          <w:tcPr>
            <w:tcW w:w="90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.67</w:t>
            </w:r>
          </w:p>
        </w:tc>
        <w:tc>
          <w:tcPr>
            <w:tcW w:w="1620" w:type="dxa"/>
            <w:vAlign w:val="center"/>
          </w:tcPr>
          <w:p w:rsidR="00D60BC1" w:rsidRPr="00186DC0" w:rsidRDefault="00D60BC1" w:rsidP="0035076F">
            <w:pPr>
              <w:jc w:val="center"/>
              <w:rPr>
                <w:rFonts w:ascii="Garamond" w:hAnsi="Garamond"/>
                <w:sz w:val="20"/>
                <w:szCs w:val="20"/>
              </w:rPr>
            </w:pPr>
          </w:p>
        </w:tc>
        <w:tc>
          <w:tcPr>
            <w:tcW w:w="1620" w:type="dxa"/>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Multiple Choice</w:t>
            </w:r>
          </w:p>
        </w:tc>
      </w:tr>
      <w:tr w:rsidR="00D60BC1" w:rsidRPr="00186DC0" w:rsidTr="006C304C">
        <w:trPr>
          <w:cantSplit/>
          <w:trHeight w:val="414"/>
          <w:jc w:val="center"/>
        </w:trPr>
        <w:tc>
          <w:tcPr>
            <w:tcW w:w="378" w:type="dxa"/>
            <w:vMerge/>
            <w:tcBorders>
              <w:bottom w:val="single" w:sz="2" w:space="0" w:color="auto"/>
            </w:tcBorders>
          </w:tcPr>
          <w:p w:rsidR="00D60BC1" w:rsidRPr="00186DC0" w:rsidRDefault="00D60BC1" w:rsidP="0035076F">
            <w:pPr>
              <w:rPr>
                <w:rFonts w:ascii="Garamond" w:hAnsi="Garamond"/>
                <w:sz w:val="20"/>
                <w:szCs w:val="20"/>
              </w:rPr>
            </w:pPr>
          </w:p>
        </w:tc>
        <w:tc>
          <w:tcPr>
            <w:tcW w:w="3762" w:type="dxa"/>
            <w:tcBorders>
              <w:bottom w:val="single" w:sz="2" w:space="0" w:color="auto"/>
            </w:tcBorders>
            <w:vAlign w:val="center"/>
          </w:tcPr>
          <w:p w:rsidR="00D60BC1" w:rsidRPr="00186DC0" w:rsidRDefault="00D60BC1" w:rsidP="00D60BC1">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42" w:hanging="342"/>
              <w:jc w:val="left"/>
              <w:rPr>
                <w:rFonts w:ascii="Garamond" w:hAnsi="Garamond"/>
                <w:sz w:val="20"/>
                <w:szCs w:val="20"/>
              </w:rPr>
            </w:pPr>
            <w:r w:rsidRPr="00186DC0">
              <w:rPr>
                <w:rFonts w:ascii="Garamond" w:hAnsi="Garamond"/>
                <w:sz w:val="20"/>
                <w:szCs w:val="20"/>
              </w:rPr>
              <w:t>Explain how backcountry settlers adapted to and made use of the resources available to them.</w:t>
            </w:r>
          </w:p>
        </w:tc>
        <w:tc>
          <w:tcPr>
            <w:tcW w:w="1080" w:type="dxa"/>
            <w:tcBorders>
              <w:bottom w:val="single" w:sz="2" w:space="0" w:color="auto"/>
            </w:tcBorders>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15</w:t>
            </w:r>
          </w:p>
        </w:tc>
        <w:tc>
          <w:tcPr>
            <w:tcW w:w="990" w:type="dxa"/>
            <w:tcBorders>
              <w:bottom w:val="single" w:sz="2" w:space="0" w:color="auto"/>
            </w:tcBorders>
            <w:vAlign w:val="center"/>
          </w:tcPr>
          <w:p w:rsidR="00D60BC1" w:rsidRPr="00186DC0" w:rsidRDefault="00D60BC1" w:rsidP="0035076F">
            <w:pPr>
              <w:tabs>
                <w:tab w:val="decimal" w:pos="342"/>
              </w:tabs>
              <w:jc w:val="center"/>
              <w:rPr>
                <w:rFonts w:ascii="Garamond" w:hAnsi="Garamond"/>
                <w:sz w:val="20"/>
                <w:szCs w:val="20"/>
              </w:rPr>
            </w:pPr>
            <w:r w:rsidRPr="00186DC0">
              <w:rPr>
                <w:rFonts w:ascii="Garamond" w:hAnsi="Garamond"/>
                <w:sz w:val="20"/>
                <w:szCs w:val="20"/>
              </w:rPr>
              <w:t>10.00%</w:t>
            </w:r>
          </w:p>
        </w:tc>
        <w:tc>
          <w:tcPr>
            <w:tcW w:w="900" w:type="dxa"/>
            <w:tcBorders>
              <w:bottom w:val="single" w:sz="2" w:space="0" w:color="auto"/>
            </w:tcBorders>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1.00</w:t>
            </w:r>
          </w:p>
        </w:tc>
        <w:tc>
          <w:tcPr>
            <w:tcW w:w="1620" w:type="dxa"/>
            <w:tcBorders>
              <w:bottom w:val="single" w:sz="2" w:space="0" w:color="auto"/>
            </w:tcBorders>
            <w:vAlign w:val="center"/>
          </w:tcPr>
          <w:p w:rsidR="00D60BC1" w:rsidRPr="00186DC0" w:rsidRDefault="00D60BC1" w:rsidP="0035076F">
            <w:pPr>
              <w:jc w:val="center"/>
              <w:rPr>
                <w:rFonts w:ascii="Garamond" w:hAnsi="Garamond"/>
                <w:sz w:val="20"/>
                <w:szCs w:val="20"/>
              </w:rPr>
            </w:pPr>
          </w:p>
        </w:tc>
        <w:tc>
          <w:tcPr>
            <w:tcW w:w="1620" w:type="dxa"/>
            <w:tcBorders>
              <w:bottom w:val="single" w:sz="2" w:space="0" w:color="auto"/>
            </w:tcBorders>
            <w:vAlign w:val="center"/>
          </w:tcPr>
          <w:p w:rsidR="00D60BC1" w:rsidRPr="00186DC0" w:rsidRDefault="00D60BC1" w:rsidP="0035076F">
            <w:pPr>
              <w:jc w:val="center"/>
              <w:rPr>
                <w:rFonts w:ascii="Garamond" w:hAnsi="Garamond"/>
                <w:sz w:val="20"/>
                <w:szCs w:val="20"/>
              </w:rPr>
            </w:pPr>
            <w:r w:rsidRPr="00186DC0">
              <w:rPr>
                <w:rFonts w:ascii="Garamond" w:hAnsi="Garamond"/>
                <w:sz w:val="20"/>
                <w:szCs w:val="20"/>
              </w:rPr>
              <w:t>1 Multiple Choice</w:t>
            </w:r>
          </w:p>
        </w:tc>
      </w:tr>
      <w:tr w:rsidR="00D60BC1" w:rsidRPr="00186DC0" w:rsidTr="006C304C">
        <w:trPr>
          <w:jc w:val="center"/>
        </w:trPr>
        <w:tc>
          <w:tcPr>
            <w:tcW w:w="378" w:type="dxa"/>
            <w:tcBorders>
              <w:top w:val="single" w:sz="2" w:space="0" w:color="auto"/>
              <w:bottom w:val="single" w:sz="18" w:space="0" w:color="auto"/>
              <w:right w:val="nil"/>
            </w:tcBorders>
          </w:tcPr>
          <w:p w:rsidR="00D60BC1" w:rsidRPr="00186DC0" w:rsidRDefault="00D60BC1" w:rsidP="0035076F">
            <w:pPr>
              <w:rPr>
                <w:rFonts w:ascii="Garamond" w:hAnsi="Garamond"/>
                <w:sz w:val="20"/>
                <w:szCs w:val="20"/>
              </w:rPr>
            </w:pPr>
          </w:p>
        </w:tc>
        <w:tc>
          <w:tcPr>
            <w:tcW w:w="3762" w:type="dxa"/>
            <w:tcBorders>
              <w:top w:val="single" w:sz="2" w:space="0" w:color="auto"/>
              <w:left w:val="nil"/>
              <w:bottom w:val="single" w:sz="18" w:space="0" w:color="auto"/>
            </w:tcBorders>
          </w:tcPr>
          <w:p w:rsidR="00D60BC1" w:rsidRPr="00186DC0" w:rsidRDefault="00D60BC1" w:rsidP="0035076F">
            <w:pPr>
              <w:rPr>
                <w:rFonts w:ascii="Garamond" w:hAnsi="Garamond"/>
                <w:sz w:val="20"/>
                <w:szCs w:val="20"/>
              </w:rPr>
            </w:pPr>
          </w:p>
        </w:tc>
        <w:tc>
          <w:tcPr>
            <w:tcW w:w="1080" w:type="dxa"/>
            <w:tcBorders>
              <w:top w:val="single" w:sz="2" w:space="0" w:color="auto"/>
              <w:bottom w:val="single" w:sz="18" w:space="0" w:color="auto"/>
            </w:tcBorders>
            <w:vAlign w:val="center"/>
          </w:tcPr>
          <w:p w:rsidR="00D60BC1" w:rsidRPr="00186DC0" w:rsidRDefault="00D60BC1" w:rsidP="0035076F">
            <w:pPr>
              <w:jc w:val="center"/>
              <w:rPr>
                <w:rFonts w:ascii="Garamond" w:hAnsi="Garamond"/>
                <w:b/>
                <w:sz w:val="20"/>
                <w:szCs w:val="20"/>
              </w:rPr>
            </w:pPr>
            <w:r w:rsidRPr="00186DC0">
              <w:rPr>
                <w:rFonts w:ascii="Garamond" w:hAnsi="Garamond"/>
                <w:b/>
                <w:sz w:val="20"/>
                <w:szCs w:val="20"/>
              </w:rPr>
              <w:t>150</w:t>
            </w:r>
          </w:p>
        </w:tc>
        <w:tc>
          <w:tcPr>
            <w:tcW w:w="990" w:type="dxa"/>
            <w:tcBorders>
              <w:top w:val="single" w:sz="2" w:space="0" w:color="auto"/>
              <w:bottom w:val="single" w:sz="18" w:space="0" w:color="auto"/>
            </w:tcBorders>
            <w:vAlign w:val="center"/>
          </w:tcPr>
          <w:p w:rsidR="00D60BC1" w:rsidRPr="00186DC0" w:rsidRDefault="00D60BC1" w:rsidP="0035076F">
            <w:pPr>
              <w:tabs>
                <w:tab w:val="decimal" w:pos="342"/>
              </w:tabs>
              <w:jc w:val="center"/>
              <w:rPr>
                <w:rFonts w:ascii="Garamond" w:hAnsi="Garamond"/>
                <w:b/>
                <w:sz w:val="20"/>
                <w:szCs w:val="20"/>
              </w:rPr>
            </w:pPr>
            <w:r w:rsidRPr="00186DC0">
              <w:rPr>
                <w:rFonts w:ascii="Garamond" w:hAnsi="Garamond"/>
                <w:b/>
                <w:sz w:val="20"/>
                <w:szCs w:val="20"/>
              </w:rPr>
              <w:t>100.00%</w:t>
            </w:r>
          </w:p>
        </w:tc>
        <w:tc>
          <w:tcPr>
            <w:tcW w:w="900" w:type="dxa"/>
            <w:tcBorders>
              <w:top w:val="single" w:sz="2" w:space="0" w:color="auto"/>
              <w:bottom w:val="single" w:sz="18" w:space="0" w:color="auto"/>
            </w:tcBorders>
            <w:vAlign w:val="center"/>
          </w:tcPr>
          <w:p w:rsidR="00D60BC1" w:rsidRPr="00186DC0" w:rsidRDefault="00D60BC1" w:rsidP="0035076F">
            <w:pPr>
              <w:jc w:val="center"/>
              <w:rPr>
                <w:rFonts w:ascii="Garamond" w:hAnsi="Garamond"/>
                <w:b/>
                <w:sz w:val="20"/>
                <w:szCs w:val="20"/>
              </w:rPr>
            </w:pPr>
            <w:r w:rsidRPr="00186DC0">
              <w:rPr>
                <w:rFonts w:ascii="Garamond" w:hAnsi="Garamond"/>
                <w:b/>
                <w:sz w:val="20"/>
                <w:szCs w:val="20"/>
              </w:rPr>
              <w:t>10</w:t>
            </w:r>
          </w:p>
        </w:tc>
        <w:tc>
          <w:tcPr>
            <w:tcW w:w="1620" w:type="dxa"/>
            <w:tcBorders>
              <w:top w:val="single" w:sz="2" w:space="0" w:color="auto"/>
              <w:bottom w:val="single" w:sz="18" w:space="0" w:color="auto"/>
            </w:tcBorders>
            <w:vAlign w:val="center"/>
          </w:tcPr>
          <w:p w:rsidR="00D60BC1" w:rsidRPr="00186DC0" w:rsidRDefault="00D60BC1" w:rsidP="0035076F">
            <w:pPr>
              <w:jc w:val="center"/>
              <w:rPr>
                <w:rFonts w:ascii="Garamond" w:hAnsi="Garamond"/>
                <w:b/>
                <w:sz w:val="20"/>
                <w:szCs w:val="20"/>
              </w:rPr>
            </w:pPr>
            <w:r w:rsidRPr="00186DC0">
              <w:rPr>
                <w:rFonts w:ascii="Garamond" w:hAnsi="Garamond"/>
                <w:b/>
                <w:sz w:val="20"/>
                <w:szCs w:val="20"/>
              </w:rPr>
              <w:t>5</w:t>
            </w:r>
          </w:p>
        </w:tc>
        <w:tc>
          <w:tcPr>
            <w:tcW w:w="1620" w:type="dxa"/>
            <w:tcBorders>
              <w:top w:val="single" w:sz="2" w:space="0" w:color="auto"/>
              <w:bottom w:val="single" w:sz="18" w:space="0" w:color="auto"/>
            </w:tcBorders>
            <w:vAlign w:val="center"/>
          </w:tcPr>
          <w:p w:rsidR="00D60BC1" w:rsidRPr="00186DC0" w:rsidRDefault="00D60BC1" w:rsidP="0035076F">
            <w:pPr>
              <w:jc w:val="center"/>
              <w:rPr>
                <w:rFonts w:ascii="Garamond" w:hAnsi="Garamond"/>
                <w:b/>
                <w:sz w:val="20"/>
                <w:szCs w:val="20"/>
              </w:rPr>
            </w:pPr>
            <w:r w:rsidRPr="00186DC0">
              <w:rPr>
                <w:rFonts w:ascii="Garamond" w:hAnsi="Garamond"/>
                <w:b/>
                <w:sz w:val="20"/>
                <w:szCs w:val="20"/>
              </w:rPr>
              <w:t>5</w:t>
            </w:r>
          </w:p>
        </w:tc>
      </w:tr>
    </w:tbl>
    <w:p w:rsidR="00D60BC1" w:rsidRDefault="00D60BC1" w:rsidP="00D60BC1">
      <w:pPr>
        <w:widowControl/>
        <w:spacing w:after="120"/>
        <w:rPr>
          <w:rFonts w:ascii="Garamond" w:hAnsi="Garamond"/>
        </w:rPr>
      </w:pPr>
    </w:p>
    <w:p w:rsidR="00D60BC1" w:rsidRDefault="00D60BC1" w:rsidP="00581E5A">
      <w:pPr>
        <w:widowControl/>
        <w:spacing w:after="120"/>
        <w:ind w:firstLine="432"/>
        <w:rPr>
          <w:rFonts w:ascii="Garamond" w:hAnsi="Garamond"/>
        </w:rPr>
        <w:sectPr w:rsidR="00D60BC1" w:rsidSect="00D60BC1">
          <w:type w:val="continuous"/>
          <w:pgSz w:w="12240" w:h="15840" w:code="1"/>
          <w:pgMar w:top="432" w:right="720" w:bottom="432" w:left="720" w:header="720" w:footer="1440" w:gutter="0"/>
          <w:cols w:space="432"/>
          <w:noEndnote/>
        </w:sectPr>
      </w:pPr>
    </w:p>
    <w:p w:rsidR="00CC05EB" w:rsidRPr="008A7293" w:rsidRDefault="00CC05EB" w:rsidP="006C304C">
      <w:pPr>
        <w:widowControl/>
        <w:spacing w:after="120"/>
        <w:rPr>
          <w:rFonts w:ascii="Garamond" w:hAnsi="Garamond"/>
        </w:rPr>
      </w:pPr>
      <w:proofErr w:type="gramStart"/>
      <w:r w:rsidRPr="008A7293">
        <w:rPr>
          <w:rFonts w:ascii="Garamond" w:hAnsi="Garamond"/>
        </w:rPr>
        <w:lastRenderedPageBreak/>
        <w:t>valid</w:t>
      </w:r>
      <w:proofErr w:type="gramEnd"/>
      <w:r w:rsidRPr="008A7293">
        <w:rPr>
          <w:rFonts w:ascii="Garamond" w:hAnsi="Garamond"/>
        </w:rPr>
        <w:t xml:space="preserve"> inferences. However, this is only true when test items are good quality. Furthermore, students are more likely to get fatigued with longer tests and perform less well as they move through the test. Therefore, we </w:t>
      </w:r>
      <w:r w:rsidRPr="008A7293">
        <w:rPr>
          <w:rFonts w:ascii="Garamond" w:hAnsi="Garamond"/>
        </w:rPr>
        <w:lastRenderedPageBreak/>
        <w:t xml:space="preserve">believe that the ideal test is one that students can complete in the time allotted, with enough time to brainstorm any writing portions, and to check their answers before turning in their completed assessment. </w:t>
      </w:r>
      <w:r w:rsidRPr="008A7293">
        <w:rPr>
          <w:rFonts w:ascii="Garamond" w:hAnsi="Garamond"/>
        </w:rPr>
        <w:lastRenderedPageBreak/>
        <w:t xml:space="preserve">The creator of the TOS in </w:t>
      </w:r>
      <w:r w:rsidR="006C304C" w:rsidRPr="006C304C">
        <w:rPr>
          <w:rFonts w:ascii="Garamond" w:hAnsi="Garamond"/>
        </w:rPr>
        <w:t>Table 3</w:t>
      </w:r>
      <w:r w:rsidRPr="008A7293">
        <w:rPr>
          <w:rFonts w:ascii="Garamond" w:hAnsi="Garamond"/>
        </w:rPr>
        <w:t xml:space="preserve"> decided to create a 10 item test that would include 7 multiple choice items and 3 short answer items. Just a reminder, this is a professional decision made by the teacher based on his/her knowledge of the students, the classroom context, and the role of this test in relation to other assessments for the grade period.</w:t>
      </w:r>
    </w:p>
    <w:p w:rsidR="00CC05EB" w:rsidRPr="008A7293" w:rsidRDefault="00CC05EB" w:rsidP="00581E5A">
      <w:pPr>
        <w:widowControl/>
        <w:spacing w:after="120"/>
        <w:ind w:firstLine="432"/>
        <w:rPr>
          <w:rFonts w:ascii="Garamond" w:hAnsi="Garamond"/>
        </w:rPr>
      </w:pPr>
      <w:r w:rsidRPr="008A7293">
        <w:rPr>
          <w:rFonts w:ascii="Garamond" w:hAnsi="Garamond"/>
        </w:rPr>
        <w:t xml:space="preserve">The remainder of column E is used to determine how many test items (of equal value) should be used to assess each objective. To make this calculation you simply multiply the percentage of the test each objective should assess by the number of items the teacher has decided to include on the test. So for the first objective you multiply 10% x 10 items = 1 item. An alternative approach to this step of the TOS is to think about the number of points the test is worth. If the test is worth 10 points of a student’s total grade then one point of this test should assess objective 1. The use of points allows for varied weights to be applied to items that assess different objectives. However, in practice this can sometimes create more confusion than it does a quality assessment. </w:t>
      </w:r>
    </w:p>
    <w:p w:rsidR="00CC05EB" w:rsidRPr="008A7293" w:rsidRDefault="00CC05EB" w:rsidP="00581E5A">
      <w:pPr>
        <w:widowControl/>
        <w:spacing w:after="120"/>
        <w:ind w:firstLine="432"/>
        <w:rPr>
          <w:rFonts w:ascii="Garamond" w:hAnsi="Garamond"/>
        </w:rPr>
      </w:pPr>
      <w:r w:rsidRPr="008A7293">
        <w:rPr>
          <w:rFonts w:ascii="Garamond" w:hAnsi="Garamond"/>
        </w:rPr>
        <w:t>By now you may have noticed that the number of items per objective (Column E) does not always come out to a nice even number. In these cases the teacher must again use his/her professional judgment to decide whether to assess objectives with partial point values or not. In this example the teacher chose to “round up” the items for objectives 3, 6, and 11 and “round down” the items for objectives 4, 7, and 10. This brings up an important point about constructing classroom tests. Every objective does not need to be assessed in every assessment. A TOS can help you make sure that the most relevant objectives are assessed and that</w:t>
      </w:r>
      <w:r w:rsidR="009678C1">
        <w:rPr>
          <w:rFonts w:ascii="Garamond" w:hAnsi="Garamond"/>
        </w:rPr>
        <w:t xml:space="preserve"> </w:t>
      </w:r>
      <w:proofErr w:type="gramStart"/>
      <w:r w:rsidRPr="008A7293">
        <w:rPr>
          <w:rFonts w:ascii="Garamond" w:hAnsi="Garamond"/>
        </w:rPr>
        <w:t>a</w:t>
      </w:r>
      <w:r w:rsidR="009678C1">
        <w:rPr>
          <w:rFonts w:ascii="Garamond" w:hAnsi="Garamond"/>
        </w:rPr>
        <w:t xml:space="preserve"> </w:t>
      </w:r>
      <w:r w:rsidRPr="008A7293">
        <w:rPr>
          <w:rFonts w:ascii="Garamond" w:hAnsi="Garamond"/>
        </w:rPr>
        <w:t>sampling of less prominent ones are</w:t>
      </w:r>
      <w:proofErr w:type="gramEnd"/>
      <w:r w:rsidRPr="008A7293">
        <w:rPr>
          <w:rFonts w:ascii="Garamond" w:hAnsi="Garamond"/>
        </w:rPr>
        <w:t xml:space="preserve"> also included. A student when preparing for a test studies everything and gains an understanding of the content. What can actually be assessed is only a sampling of the students’ knowledge at a particular point. </w:t>
      </w:r>
    </w:p>
    <w:p w:rsidR="00581E5A" w:rsidRDefault="00CC05EB" w:rsidP="00581E5A">
      <w:pPr>
        <w:keepNext/>
        <w:widowControl/>
        <w:spacing w:after="120"/>
        <w:rPr>
          <w:rFonts w:ascii="Garamond" w:hAnsi="Garamond"/>
          <w:b/>
          <w:i/>
        </w:rPr>
      </w:pPr>
      <w:proofErr w:type="gramStart"/>
      <w:r w:rsidRPr="00581E5A">
        <w:rPr>
          <w:rFonts w:ascii="Garamond" w:hAnsi="Garamond" w:cs="Arial"/>
          <w:b/>
          <w:bCs/>
          <w:color w:val="0000FF"/>
        </w:rPr>
        <w:t xml:space="preserve">Evidence for response </w:t>
      </w:r>
      <w:r w:rsidRPr="005310D4">
        <w:rPr>
          <w:rFonts w:ascii="Garamond" w:hAnsi="Garamond" w:cs="Arial"/>
          <w:b/>
          <w:bCs/>
          <w:color w:val="0070C0"/>
        </w:rPr>
        <w:t>process</w:t>
      </w:r>
      <w:r w:rsidRPr="005310D4">
        <w:rPr>
          <w:rFonts w:ascii="Garamond" w:hAnsi="Garamond"/>
          <w:b/>
          <w:i/>
          <w:color w:val="0070C0"/>
        </w:rPr>
        <w:t>.</w:t>
      </w:r>
      <w:proofErr w:type="gramEnd"/>
      <w:r w:rsidRPr="008A7293">
        <w:rPr>
          <w:rFonts w:ascii="Garamond" w:hAnsi="Garamond"/>
          <w:b/>
          <w:i/>
        </w:rPr>
        <w:t xml:space="preserve"> </w:t>
      </w:r>
    </w:p>
    <w:p w:rsidR="00CC05EB" w:rsidRPr="008A7293" w:rsidRDefault="00CC05EB" w:rsidP="005310D4">
      <w:pPr>
        <w:widowControl/>
        <w:spacing w:after="120"/>
        <w:ind w:firstLine="450"/>
        <w:rPr>
          <w:rFonts w:ascii="Garamond" w:hAnsi="Garamond"/>
        </w:rPr>
      </w:pPr>
      <w:r w:rsidRPr="008A7293">
        <w:rPr>
          <w:rFonts w:ascii="Garamond" w:hAnsi="Garamond"/>
        </w:rPr>
        <w:t xml:space="preserve">Columns F and G indicate the professional judgment of the teacher. Based on the number of items per objective as calculated in Column E, the teacher must now decide which objectives to assess and with how many items. The teacher must also decide whether </w:t>
      </w:r>
      <w:r w:rsidRPr="008A7293">
        <w:rPr>
          <w:rFonts w:ascii="Garamond" w:hAnsi="Garamond"/>
        </w:rPr>
        <w:lastRenderedPageBreak/>
        <w:t xml:space="preserve">the objective should be tested at a low or high level based on the learning objective and how the content was taught. If you look at the first objective “Identify the various groups who settled the Middle Atlantic Colonies” the teacher determined that this should be included on the test – 10% of the total class time was spent on this objective and thus 10% (or one item) of the test should assess this objective. The teacher has indicated that he/she will select or construct one multiple choice item to assess this </w:t>
      </w:r>
      <w:r w:rsidR="005310D4" w:rsidRPr="008A7293">
        <w:rPr>
          <w:rFonts w:ascii="Garamond" w:hAnsi="Garamond"/>
        </w:rPr>
        <w:t>a</w:t>
      </w:r>
      <w:r w:rsidR="005310D4">
        <w:rPr>
          <w:rFonts w:ascii="Garamond" w:hAnsi="Garamond"/>
        </w:rPr>
        <w:t>t</w:t>
      </w:r>
      <w:r w:rsidR="005310D4" w:rsidRPr="008A7293">
        <w:rPr>
          <w:rFonts w:ascii="Garamond" w:hAnsi="Garamond"/>
        </w:rPr>
        <w:t xml:space="preserve"> </w:t>
      </w:r>
      <w:r w:rsidRPr="008A7293">
        <w:rPr>
          <w:rFonts w:ascii="Garamond" w:hAnsi="Garamond"/>
        </w:rPr>
        <w:t xml:space="preserve">a lower cognitive level that will require the student to identify or recall or recognize the correct answer. </w:t>
      </w:r>
    </w:p>
    <w:p w:rsidR="00CC05EB" w:rsidRPr="008A7293" w:rsidRDefault="00CC05EB" w:rsidP="00581E5A">
      <w:pPr>
        <w:widowControl/>
        <w:spacing w:after="120"/>
        <w:ind w:firstLine="432"/>
        <w:rPr>
          <w:rFonts w:ascii="Garamond" w:hAnsi="Garamond"/>
        </w:rPr>
      </w:pPr>
      <w:r w:rsidRPr="008A7293">
        <w:rPr>
          <w:rFonts w:ascii="Garamond" w:hAnsi="Garamond"/>
        </w:rPr>
        <w:t xml:space="preserve">As mentioned above the teacher must decide which type of question to use to assess each objective at the correct level. When making this decision a teacher should consider the best way to get the desired information from the student. For instance, in </w:t>
      </w:r>
      <w:r w:rsidR="006C304C">
        <w:rPr>
          <w:rFonts w:ascii="Garamond" w:hAnsi="Garamond"/>
        </w:rPr>
        <w:t xml:space="preserve">Table </w:t>
      </w:r>
      <w:r w:rsidR="00520EF8">
        <w:rPr>
          <w:rFonts w:ascii="Garamond" w:hAnsi="Garamond"/>
        </w:rPr>
        <w:t>3</w:t>
      </w:r>
      <w:r w:rsidRPr="008A7293">
        <w:rPr>
          <w:rFonts w:ascii="Garamond" w:hAnsi="Garamond"/>
        </w:rPr>
        <w:t>, the teacher has indicated that he/she will use a short answer question to assess objective 2 “Summarize the contributions of different religious and cultural groups to the settlement of the Middle Atlantic Colonies.” While this is considered a low level thinking item, simply rephrasing the material taught in class, it lends itself to a short answer item because student</w:t>
      </w:r>
      <w:r w:rsidR="005310D4">
        <w:rPr>
          <w:rFonts w:ascii="Garamond" w:hAnsi="Garamond"/>
        </w:rPr>
        <w:t>s</w:t>
      </w:r>
      <w:r w:rsidRPr="008A7293">
        <w:rPr>
          <w:rFonts w:ascii="Garamond" w:hAnsi="Garamond"/>
        </w:rPr>
        <w:t xml:space="preserve"> are required to put these descriptions in their own words rather than just selecting from a series of choices. This may prove to be a more challenging item for fifth grade students because it requires them to recall and write out their responses. However, the thinking involved in this task is still low level. In contrast, if the students were asked to make comparisons or evaluations between the groups then the objective would be at a higher level. </w:t>
      </w:r>
    </w:p>
    <w:p w:rsidR="00CC05EB" w:rsidRPr="00581E5A" w:rsidRDefault="00CC05EB" w:rsidP="00581E5A">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jc w:val="center"/>
        <w:rPr>
          <w:rFonts w:ascii="Arial" w:hAnsi="Arial" w:cs="Arial"/>
          <w:b/>
          <w:bCs/>
          <w:color w:val="0000FF"/>
        </w:rPr>
      </w:pPr>
      <w:r w:rsidRPr="00581E5A">
        <w:rPr>
          <w:rFonts w:ascii="Arial" w:hAnsi="Arial" w:cs="Arial"/>
          <w:b/>
          <w:bCs/>
          <w:color w:val="0000FF"/>
        </w:rPr>
        <w:t>The TOS is a Tool for Every Teacher</w:t>
      </w:r>
    </w:p>
    <w:p w:rsidR="00CC05EB" w:rsidRPr="008A7293" w:rsidRDefault="00CC05EB" w:rsidP="00581E5A">
      <w:pPr>
        <w:widowControl/>
        <w:spacing w:after="120"/>
        <w:ind w:firstLine="432"/>
        <w:rPr>
          <w:rFonts w:ascii="Garamond" w:hAnsi="Garamond"/>
        </w:rPr>
      </w:pPr>
      <w:r w:rsidRPr="008A7293">
        <w:rPr>
          <w:rFonts w:ascii="Garamond" w:hAnsi="Garamond"/>
        </w:rPr>
        <w:t>The cornerstone of classroom assessment practices is the validity of the judgments about students’ learning and knowledge (</w:t>
      </w:r>
      <w:proofErr w:type="spellStart"/>
      <w:r w:rsidRPr="008A7293">
        <w:rPr>
          <w:rFonts w:ascii="Garamond" w:hAnsi="Garamond"/>
        </w:rPr>
        <w:t>Wolming</w:t>
      </w:r>
      <w:proofErr w:type="spellEnd"/>
      <w:r w:rsidRPr="008A7293">
        <w:rPr>
          <w:rFonts w:ascii="Garamond" w:hAnsi="Garamond"/>
        </w:rPr>
        <w:t xml:space="preserve"> &amp; </w:t>
      </w:r>
      <w:proofErr w:type="spellStart"/>
      <w:r w:rsidRPr="008A7293">
        <w:rPr>
          <w:rFonts w:ascii="Garamond" w:hAnsi="Garamond"/>
        </w:rPr>
        <w:t>Wilkstrom</w:t>
      </w:r>
      <w:proofErr w:type="spellEnd"/>
      <w:r w:rsidRPr="008A7293">
        <w:rPr>
          <w:rFonts w:ascii="Garamond" w:hAnsi="Garamond"/>
        </w:rPr>
        <w:t xml:space="preserve">, 2010). A TOS is one tool that teachers can use to support their professional judgment when creating or selecting test for use with their students. The TOS can be used in conjunction with lesson and unit planning to help teacher make clear the connections between planning, instruction, and assessment. </w:t>
      </w:r>
    </w:p>
    <w:p w:rsidR="00CC05EB" w:rsidRPr="00581E5A" w:rsidRDefault="00CC05EB" w:rsidP="00581E5A">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jc w:val="center"/>
        <w:rPr>
          <w:rFonts w:ascii="Arial" w:hAnsi="Arial" w:cs="Arial"/>
          <w:b/>
          <w:bCs/>
          <w:color w:val="0000FF"/>
        </w:rPr>
      </w:pPr>
      <w:r w:rsidRPr="00581E5A">
        <w:rPr>
          <w:rFonts w:ascii="Arial" w:hAnsi="Arial" w:cs="Arial"/>
          <w:b/>
          <w:bCs/>
          <w:color w:val="0000FF"/>
        </w:rPr>
        <w:lastRenderedPageBreak/>
        <w:t>References</w:t>
      </w:r>
    </w:p>
    <w:p w:rsidR="00CC05EB" w:rsidRPr="008A7293" w:rsidRDefault="00CC05EB" w:rsidP="00581E5A">
      <w:pPr>
        <w:pStyle w:val="BodyTextIndent"/>
        <w:widowControl/>
        <w:tabs>
          <w:tab w:val="clear" w:pos="720"/>
        </w:tabs>
        <w:spacing w:after="60"/>
        <w:ind w:left="432" w:hanging="432"/>
        <w:jc w:val="left"/>
        <w:rPr>
          <w:rFonts w:ascii="Garamond" w:hAnsi="Garamond"/>
          <w:sz w:val="22"/>
          <w:szCs w:val="22"/>
        </w:rPr>
      </w:pPr>
      <w:proofErr w:type="gramStart"/>
      <w:r w:rsidRPr="008A7293">
        <w:rPr>
          <w:rFonts w:ascii="Garamond" w:hAnsi="Garamond"/>
          <w:sz w:val="22"/>
          <w:szCs w:val="22"/>
        </w:rPr>
        <w:t>American Educational Research Association, American Psychological Association, &amp; National Council on Measurement in Education.</w:t>
      </w:r>
      <w:proofErr w:type="gramEnd"/>
      <w:r w:rsidRPr="008A7293">
        <w:rPr>
          <w:rFonts w:ascii="Garamond" w:hAnsi="Garamond"/>
          <w:sz w:val="22"/>
          <w:szCs w:val="22"/>
        </w:rPr>
        <w:t xml:space="preserve"> </w:t>
      </w:r>
      <w:proofErr w:type="gramStart"/>
      <w:r w:rsidRPr="008A7293">
        <w:rPr>
          <w:rFonts w:ascii="Garamond" w:hAnsi="Garamond"/>
          <w:sz w:val="22"/>
          <w:szCs w:val="22"/>
        </w:rPr>
        <w:t xml:space="preserve">(1999). </w:t>
      </w:r>
      <w:r w:rsidRPr="008A7293">
        <w:rPr>
          <w:rFonts w:ascii="Garamond" w:hAnsi="Garamond"/>
          <w:i/>
          <w:iCs/>
          <w:sz w:val="22"/>
          <w:szCs w:val="22"/>
        </w:rPr>
        <w:t>Standards for educational and psychological testing.</w:t>
      </w:r>
      <w:proofErr w:type="gramEnd"/>
      <w:r w:rsidRPr="008A7293">
        <w:rPr>
          <w:rFonts w:ascii="Garamond" w:hAnsi="Garamond"/>
          <w:i/>
          <w:iCs/>
          <w:sz w:val="22"/>
          <w:szCs w:val="22"/>
        </w:rPr>
        <w:t xml:space="preserve"> </w:t>
      </w:r>
      <w:r w:rsidRPr="008A7293">
        <w:rPr>
          <w:rFonts w:ascii="Garamond" w:hAnsi="Garamond"/>
          <w:sz w:val="22"/>
          <w:szCs w:val="22"/>
        </w:rPr>
        <w:t>Washington, DC: American Educational Research Association.</w:t>
      </w:r>
    </w:p>
    <w:p w:rsidR="00CC05EB" w:rsidRPr="008A7293" w:rsidRDefault="00CC05EB" w:rsidP="00581E5A">
      <w:pPr>
        <w:widowControl/>
        <w:spacing w:after="60"/>
        <w:ind w:left="432" w:hanging="432"/>
        <w:jc w:val="left"/>
        <w:rPr>
          <w:rFonts w:ascii="Garamond" w:hAnsi="Garamond"/>
          <w:sz w:val="22"/>
          <w:szCs w:val="22"/>
        </w:rPr>
      </w:pPr>
      <w:r w:rsidRPr="008A7293">
        <w:rPr>
          <w:rFonts w:ascii="Garamond" w:hAnsi="Garamond"/>
          <w:sz w:val="22"/>
          <w:szCs w:val="22"/>
        </w:rPr>
        <w:t xml:space="preserve">Anderson, L.W. (Ed.), </w:t>
      </w:r>
      <w:proofErr w:type="spellStart"/>
      <w:r w:rsidRPr="008A7293">
        <w:rPr>
          <w:rFonts w:ascii="Garamond" w:hAnsi="Garamond"/>
          <w:sz w:val="22"/>
          <w:szCs w:val="22"/>
        </w:rPr>
        <w:t>Krathwohl</w:t>
      </w:r>
      <w:proofErr w:type="spellEnd"/>
      <w:r w:rsidRPr="008A7293">
        <w:rPr>
          <w:rFonts w:ascii="Garamond" w:hAnsi="Garamond"/>
          <w:sz w:val="22"/>
          <w:szCs w:val="22"/>
        </w:rPr>
        <w:t xml:space="preserve">, D.R. (Ed.), </w:t>
      </w:r>
      <w:proofErr w:type="spellStart"/>
      <w:r w:rsidRPr="008A7293">
        <w:rPr>
          <w:rFonts w:ascii="Garamond" w:hAnsi="Garamond"/>
          <w:sz w:val="22"/>
          <w:szCs w:val="22"/>
        </w:rPr>
        <w:t>Airasian</w:t>
      </w:r>
      <w:proofErr w:type="spellEnd"/>
      <w:r w:rsidRPr="008A7293">
        <w:rPr>
          <w:rFonts w:ascii="Garamond" w:hAnsi="Garamond"/>
          <w:sz w:val="22"/>
          <w:szCs w:val="22"/>
        </w:rPr>
        <w:t xml:space="preserve">, P.W., Cruikshank, K.A., Mayer, R.E., </w:t>
      </w:r>
      <w:proofErr w:type="spellStart"/>
      <w:r w:rsidRPr="008A7293">
        <w:rPr>
          <w:rFonts w:ascii="Garamond" w:hAnsi="Garamond"/>
          <w:sz w:val="22"/>
          <w:szCs w:val="22"/>
        </w:rPr>
        <w:t>Pintrich</w:t>
      </w:r>
      <w:proofErr w:type="spellEnd"/>
      <w:r w:rsidRPr="008A7293">
        <w:rPr>
          <w:rFonts w:ascii="Garamond" w:hAnsi="Garamond"/>
          <w:sz w:val="22"/>
          <w:szCs w:val="22"/>
        </w:rPr>
        <w:t xml:space="preserve">, P.R., </w:t>
      </w:r>
      <w:proofErr w:type="spellStart"/>
      <w:r w:rsidRPr="008A7293">
        <w:rPr>
          <w:rFonts w:ascii="Garamond" w:hAnsi="Garamond"/>
          <w:sz w:val="22"/>
          <w:szCs w:val="22"/>
        </w:rPr>
        <w:t>Raths</w:t>
      </w:r>
      <w:proofErr w:type="spellEnd"/>
      <w:r w:rsidRPr="008A7293">
        <w:rPr>
          <w:rFonts w:ascii="Garamond" w:hAnsi="Garamond"/>
          <w:sz w:val="22"/>
          <w:szCs w:val="22"/>
        </w:rPr>
        <w:t xml:space="preserve">, J., &amp; </w:t>
      </w:r>
      <w:proofErr w:type="spellStart"/>
      <w:r w:rsidRPr="008A7293">
        <w:rPr>
          <w:rFonts w:ascii="Garamond" w:hAnsi="Garamond"/>
          <w:sz w:val="22"/>
          <w:szCs w:val="22"/>
        </w:rPr>
        <w:t>Wittrock</w:t>
      </w:r>
      <w:proofErr w:type="spellEnd"/>
      <w:r w:rsidRPr="008A7293">
        <w:rPr>
          <w:rFonts w:ascii="Garamond" w:hAnsi="Garamond"/>
          <w:sz w:val="22"/>
          <w:szCs w:val="22"/>
        </w:rPr>
        <w:t xml:space="preserve">, M.C. (2001). </w:t>
      </w:r>
      <w:proofErr w:type="gramStart"/>
      <w:r w:rsidRPr="008A7293">
        <w:rPr>
          <w:rFonts w:ascii="Garamond" w:hAnsi="Garamond"/>
          <w:i/>
          <w:sz w:val="22"/>
          <w:szCs w:val="22"/>
        </w:rPr>
        <w:t>A taxonomy</w:t>
      </w:r>
      <w:proofErr w:type="gramEnd"/>
      <w:r w:rsidRPr="008A7293">
        <w:rPr>
          <w:rFonts w:ascii="Garamond" w:hAnsi="Garamond"/>
          <w:i/>
          <w:sz w:val="22"/>
          <w:szCs w:val="22"/>
        </w:rPr>
        <w:t xml:space="preserve"> for learning, teaching, and assessing: A revision of Bloom's Taxonomy of Educational Objectives (Complete edition).</w:t>
      </w:r>
      <w:r w:rsidRPr="008A7293">
        <w:rPr>
          <w:rFonts w:ascii="Garamond" w:hAnsi="Garamond"/>
          <w:sz w:val="22"/>
          <w:szCs w:val="22"/>
        </w:rPr>
        <w:t xml:space="preserve"> New York: Longman.</w:t>
      </w:r>
    </w:p>
    <w:p w:rsidR="00CC05EB" w:rsidRPr="008A7293" w:rsidRDefault="00CC05EB" w:rsidP="00581E5A">
      <w:pPr>
        <w:widowControl/>
        <w:spacing w:after="60"/>
        <w:ind w:left="432" w:hanging="432"/>
        <w:jc w:val="left"/>
        <w:rPr>
          <w:rFonts w:ascii="Garamond" w:eastAsia="Times New Roman" w:hAnsi="Garamond"/>
          <w:color w:val="000000"/>
          <w:sz w:val="22"/>
          <w:szCs w:val="22"/>
        </w:rPr>
      </w:pPr>
      <w:proofErr w:type="spellStart"/>
      <w:r w:rsidRPr="008A7293">
        <w:rPr>
          <w:rFonts w:ascii="Garamond" w:eastAsia="Times New Roman" w:hAnsi="Garamond"/>
          <w:color w:val="000000"/>
          <w:sz w:val="22"/>
          <w:szCs w:val="22"/>
        </w:rPr>
        <w:t>Brookhart</w:t>
      </w:r>
      <w:proofErr w:type="spellEnd"/>
      <w:r w:rsidRPr="008A7293">
        <w:rPr>
          <w:rFonts w:ascii="Garamond" w:eastAsia="Times New Roman" w:hAnsi="Garamond"/>
          <w:color w:val="000000"/>
          <w:sz w:val="22"/>
          <w:szCs w:val="22"/>
        </w:rPr>
        <w:t xml:space="preserve">, S. M. (1999). </w:t>
      </w:r>
      <w:proofErr w:type="gramStart"/>
      <w:r w:rsidRPr="008A7293">
        <w:rPr>
          <w:rFonts w:ascii="Garamond" w:eastAsia="Times New Roman" w:hAnsi="Garamond"/>
          <w:color w:val="000000"/>
          <w:sz w:val="22"/>
          <w:szCs w:val="22"/>
        </w:rPr>
        <w:t>Teaching about communicating assessment results and grading.</w:t>
      </w:r>
      <w:proofErr w:type="gramEnd"/>
      <w:r w:rsidRPr="008A7293">
        <w:rPr>
          <w:rFonts w:ascii="Garamond" w:eastAsia="Times New Roman" w:hAnsi="Garamond"/>
          <w:color w:val="000000"/>
          <w:sz w:val="22"/>
          <w:szCs w:val="22"/>
        </w:rPr>
        <w:t xml:space="preserve"> </w:t>
      </w:r>
      <w:r w:rsidRPr="008A7293">
        <w:rPr>
          <w:rFonts w:ascii="Garamond" w:eastAsia="Times New Roman" w:hAnsi="Garamond"/>
          <w:i/>
          <w:color w:val="000000"/>
          <w:sz w:val="22"/>
          <w:szCs w:val="22"/>
        </w:rPr>
        <w:t xml:space="preserve">Educational Measurement: Issues and Practices, 18, </w:t>
      </w:r>
      <w:r w:rsidRPr="008A7293">
        <w:rPr>
          <w:rFonts w:ascii="Garamond" w:eastAsia="Times New Roman" w:hAnsi="Garamond"/>
          <w:color w:val="000000"/>
          <w:sz w:val="22"/>
          <w:szCs w:val="22"/>
        </w:rPr>
        <w:t xml:space="preserve">5-13. </w:t>
      </w:r>
    </w:p>
    <w:p w:rsidR="00CC05EB" w:rsidRPr="008A7293" w:rsidRDefault="00CC05EB" w:rsidP="00581E5A">
      <w:pPr>
        <w:pStyle w:val="BodyTextIndent"/>
        <w:widowControl/>
        <w:tabs>
          <w:tab w:val="clear" w:pos="720"/>
        </w:tabs>
        <w:spacing w:after="60"/>
        <w:ind w:left="432" w:hanging="432"/>
        <w:jc w:val="left"/>
        <w:rPr>
          <w:rFonts w:ascii="Garamond" w:hAnsi="Garamond"/>
          <w:sz w:val="22"/>
          <w:szCs w:val="22"/>
        </w:rPr>
      </w:pPr>
      <w:proofErr w:type="spellStart"/>
      <w:proofErr w:type="gramStart"/>
      <w:r w:rsidRPr="008A7293">
        <w:rPr>
          <w:rFonts w:ascii="Garamond" w:hAnsi="Garamond"/>
          <w:sz w:val="22"/>
          <w:szCs w:val="22"/>
        </w:rPr>
        <w:t>Gronlund</w:t>
      </w:r>
      <w:proofErr w:type="spellEnd"/>
      <w:r w:rsidRPr="008A7293">
        <w:rPr>
          <w:rFonts w:ascii="Garamond" w:hAnsi="Garamond"/>
          <w:sz w:val="22"/>
          <w:szCs w:val="22"/>
        </w:rPr>
        <w:t>, N.</w:t>
      </w:r>
      <w:proofErr w:type="gramEnd"/>
      <w:r w:rsidRPr="008A7293">
        <w:rPr>
          <w:rFonts w:ascii="Garamond" w:hAnsi="Garamond"/>
          <w:sz w:val="22"/>
          <w:szCs w:val="22"/>
        </w:rPr>
        <w:t xml:space="preserve">  </w:t>
      </w:r>
      <w:proofErr w:type="gramStart"/>
      <w:r w:rsidRPr="008A7293">
        <w:rPr>
          <w:rFonts w:ascii="Garamond" w:hAnsi="Garamond"/>
          <w:sz w:val="22"/>
          <w:szCs w:val="22"/>
        </w:rPr>
        <w:t>E. (2006).</w:t>
      </w:r>
      <w:proofErr w:type="gramEnd"/>
      <w:r w:rsidRPr="008A7293">
        <w:rPr>
          <w:rFonts w:ascii="Garamond" w:hAnsi="Garamond"/>
          <w:i/>
          <w:sz w:val="22"/>
          <w:szCs w:val="22"/>
        </w:rPr>
        <w:t xml:space="preserve"> </w:t>
      </w:r>
      <w:proofErr w:type="gramStart"/>
      <w:r w:rsidRPr="008A7293">
        <w:rPr>
          <w:rFonts w:ascii="Garamond" w:hAnsi="Garamond"/>
          <w:i/>
          <w:sz w:val="22"/>
          <w:szCs w:val="22"/>
        </w:rPr>
        <w:t>Assessment of student achievement.</w:t>
      </w:r>
      <w:proofErr w:type="gramEnd"/>
      <w:r w:rsidRPr="008A7293">
        <w:rPr>
          <w:rFonts w:ascii="Garamond" w:hAnsi="Garamond"/>
          <w:i/>
          <w:sz w:val="22"/>
          <w:szCs w:val="22"/>
        </w:rPr>
        <w:t xml:space="preserve"> </w:t>
      </w:r>
      <w:r w:rsidRPr="008A7293">
        <w:rPr>
          <w:rFonts w:ascii="Garamond" w:hAnsi="Garamond"/>
          <w:sz w:val="22"/>
          <w:szCs w:val="22"/>
        </w:rPr>
        <w:t xml:space="preserve">(8th </w:t>
      </w:r>
      <w:proofErr w:type="gramStart"/>
      <w:r w:rsidRPr="008A7293">
        <w:rPr>
          <w:rFonts w:ascii="Garamond" w:hAnsi="Garamond"/>
          <w:sz w:val="22"/>
          <w:szCs w:val="22"/>
        </w:rPr>
        <w:t>ed</w:t>
      </w:r>
      <w:proofErr w:type="gramEnd"/>
      <w:r w:rsidRPr="008A7293">
        <w:rPr>
          <w:rFonts w:ascii="Garamond" w:hAnsi="Garamond"/>
          <w:sz w:val="22"/>
          <w:szCs w:val="22"/>
        </w:rPr>
        <w:t>.). Boston:  Pearson.</w:t>
      </w:r>
    </w:p>
    <w:p w:rsidR="00CC05EB" w:rsidRPr="008A7293" w:rsidRDefault="00CC05EB" w:rsidP="00581E5A">
      <w:pPr>
        <w:pStyle w:val="BodyTextIndent"/>
        <w:widowControl/>
        <w:tabs>
          <w:tab w:val="clear" w:pos="720"/>
        </w:tabs>
        <w:spacing w:after="60"/>
        <w:ind w:left="432" w:hanging="432"/>
        <w:jc w:val="left"/>
        <w:rPr>
          <w:rFonts w:ascii="Garamond" w:hAnsi="Garamond"/>
          <w:sz w:val="22"/>
          <w:szCs w:val="22"/>
        </w:rPr>
      </w:pPr>
      <w:proofErr w:type="spellStart"/>
      <w:r w:rsidRPr="008A7293">
        <w:rPr>
          <w:rFonts w:ascii="Garamond" w:hAnsi="Garamond"/>
          <w:sz w:val="22"/>
          <w:szCs w:val="22"/>
        </w:rPr>
        <w:t>Kastberg</w:t>
      </w:r>
      <w:proofErr w:type="spellEnd"/>
      <w:r w:rsidRPr="008A7293">
        <w:rPr>
          <w:rFonts w:ascii="Garamond" w:hAnsi="Garamond"/>
          <w:sz w:val="22"/>
          <w:szCs w:val="22"/>
        </w:rPr>
        <w:t xml:space="preserve">, S. E. (2003). </w:t>
      </w:r>
      <w:proofErr w:type="gramStart"/>
      <w:r w:rsidRPr="008A7293">
        <w:rPr>
          <w:rFonts w:ascii="Garamond" w:hAnsi="Garamond"/>
          <w:sz w:val="22"/>
          <w:szCs w:val="22"/>
        </w:rPr>
        <w:t>Using Bloom's taxonomy as a framework for classroom assessment.</w:t>
      </w:r>
      <w:proofErr w:type="gramEnd"/>
      <w:r w:rsidRPr="008A7293">
        <w:rPr>
          <w:rFonts w:ascii="Garamond" w:hAnsi="Garamond"/>
          <w:sz w:val="22"/>
          <w:szCs w:val="22"/>
        </w:rPr>
        <w:t xml:space="preserve">  </w:t>
      </w:r>
      <w:proofErr w:type="gramStart"/>
      <w:r w:rsidRPr="008A7293">
        <w:rPr>
          <w:rFonts w:ascii="Garamond" w:hAnsi="Garamond"/>
          <w:i/>
          <w:sz w:val="22"/>
          <w:szCs w:val="22"/>
        </w:rPr>
        <w:t>The Mathematics Teacher, 96</w:t>
      </w:r>
      <w:r w:rsidRPr="008A7293">
        <w:rPr>
          <w:rFonts w:ascii="Garamond" w:hAnsi="Garamond"/>
          <w:sz w:val="22"/>
          <w:szCs w:val="22"/>
        </w:rPr>
        <w:t>, 402.</w:t>
      </w:r>
      <w:proofErr w:type="gramEnd"/>
      <w:r w:rsidRPr="008A7293">
        <w:rPr>
          <w:rFonts w:ascii="Garamond" w:hAnsi="Garamond"/>
          <w:sz w:val="22"/>
          <w:szCs w:val="22"/>
        </w:rPr>
        <w:t xml:space="preserve">  </w:t>
      </w:r>
    </w:p>
    <w:p w:rsidR="00CC05EB" w:rsidRPr="008A7293" w:rsidRDefault="00CC05EB" w:rsidP="00581E5A">
      <w:pPr>
        <w:widowControl/>
        <w:spacing w:after="60"/>
        <w:ind w:left="432" w:hanging="432"/>
        <w:jc w:val="left"/>
        <w:rPr>
          <w:rFonts w:ascii="Garamond" w:hAnsi="Garamond"/>
          <w:sz w:val="22"/>
          <w:szCs w:val="22"/>
        </w:rPr>
      </w:pPr>
      <w:proofErr w:type="gramStart"/>
      <w:r w:rsidRPr="008A7293">
        <w:rPr>
          <w:rFonts w:ascii="Garamond" w:hAnsi="Garamond"/>
          <w:sz w:val="22"/>
          <w:szCs w:val="22"/>
        </w:rPr>
        <w:lastRenderedPageBreak/>
        <w:t xml:space="preserve">Linn, R. L. &amp; </w:t>
      </w:r>
      <w:proofErr w:type="spellStart"/>
      <w:r w:rsidRPr="008A7293">
        <w:rPr>
          <w:rFonts w:ascii="Garamond" w:hAnsi="Garamond"/>
          <w:sz w:val="22"/>
          <w:szCs w:val="22"/>
        </w:rPr>
        <w:t>Gronlund</w:t>
      </w:r>
      <w:proofErr w:type="spellEnd"/>
      <w:r w:rsidRPr="008A7293">
        <w:rPr>
          <w:rFonts w:ascii="Garamond" w:hAnsi="Garamond"/>
          <w:sz w:val="22"/>
          <w:szCs w:val="22"/>
        </w:rPr>
        <w:t>, N. E.</w:t>
      </w:r>
      <w:proofErr w:type="gramEnd"/>
      <w:r w:rsidRPr="008A7293">
        <w:rPr>
          <w:rFonts w:ascii="Garamond" w:hAnsi="Garamond"/>
          <w:sz w:val="22"/>
          <w:szCs w:val="22"/>
        </w:rPr>
        <w:t xml:space="preserve">  </w:t>
      </w:r>
      <w:proofErr w:type="gramStart"/>
      <w:r w:rsidRPr="008A7293">
        <w:rPr>
          <w:rFonts w:ascii="Garamond" w:hAnsi="Garamond"/>
          <w:sz w:val="22"/>
          <w:szCs w:val="22"/>
        </w:rPr>
        <w:t xml:space="preserve">(2000). </w:t>
      </w:r>
      <w:r w:rsidRPr="008A7293">
        <w:rPr>
          <w:rFonts w:ascii="Garamond" w:hAnsi="Garamond"/>
          <w:i/>
          <w:sz w:val="22"/>
          <w:szCs w:val="22"/>
        </w:rPr>
        <w:t>Measurement and assessment in teaching.</w:t>
      </w:r>
      <w:proofErr w:type="gramEnd"/>
      <w:r w:rsidRPr="008A7293">
        <w:rPr>
          <w:rFonts w:ascii="Garamond" w:hAnsi="Garamond"/>
          <w:i/>
          <w:sz w:val="22"/>
          <w:szCs w:val="22"/>
        </w:rPr>
        <w:t xml:space="preserve"> </w:t>
      </w:r>
      <w:r w:rsidRPr="008A7293">
        <w:rPr>
          <w:rFonts w:ascii="Garamond" w:hAnsi="Garamond"/>
          <w:sz w:val="22"/>
          <w:szCs w:val="22"/>
        </w:rPr>
        <w:t xml:space="preserve">Columbus, OH: Merrill. </w:t>
      </w:r>
    </w:p>
    <w:p w:rsidR="00CC05EB" w:rsidRPr="008A7293" w:rsidRDefault="00CC05EB" w:rsidP="00581E5A">
      <w:pPr>
        <w:widowControl/>
        <w:spacing w:after="60"/>
        <w:ind w:left="432" w:hanging="432"/>
        <w:jc w:val="left"/>
        <w:rPr>
          <w:rFonts w:ascii="Garamond" w:hAnsi="Garamond"/>
          <w:sz w:val="22"/>
          <w:szCs w:val="22"/>
        </w:rPr>
      </w:pPr>
      <w:proofErr w:type="spellStart"/>
      <w:proofErr w:type="gramStart"/>
      <w:r w:rsidRPr="008A7293">
        <w:rPr>
          <w:rFonts w:ascii="Garamond" w:hAnsi="Garamond"/>
          <w:sz w:val="22"/>
          <w:szCs w:val="22"/>
        </w:rPr>
        <w:t>Mehrens</w:t>
      </w:r>
      <w:proofErr w:type="spellEnd"/>
      <w:r w:rsidRPr="008A7293">
        <w:rPr>
          <w:rFonts w:ascii="Garamond" w:hAnsi="Garamond"/>
          <w:sz w:val="22"/>
          <w:szCs w:val="22"/>
        </w:rPr>
        <w:t>, W. A. &amp; Lehman, I. J. (1973).</w:t>
      </w:r>
      <w:proofErr w:type="gramEnd"/>
      <w:r w:rsidRPr="008A7293">
        <w:rPr>
          <w:rFonts w:ascii="Garamond" w:hAnsi="Garamond"/>
          <w:sz w:val="22"/>
          <w:szCs w:val="22"/>
        </w:rPr>
        <w:t xml:space="preserve"> </w:t>
      </w:r>
      <w:proofErr w:type="gramStart"/>
      <w:r w:rsidRPr="008A7293">
        <w:rPr>
          <w:rFonts w:ascii="Garamond" w:hAnsi="Garamond"/>
          <w:i/>
          <w:sz w:val="22"/>
          <w:szCs w:val="22"/>
        </w:rPr>
        <w:t>Measurement and evaluation in education and psychology.</w:t>
      </w:r>
      <w:proofErr w:type="gramEnd"/>
      <w:r w:rsidRPr="008A7293">
        <w:rPr>
          <w:rFonts w:ascii="Garamond" w:hAnsi="Garamond"/>
          <w:i/>
          <w:sz w:val="22"/>
          <w:szCs w:val="22"/>
        </w:rPr>
        <w:t xml:space="preserve"> </w:t>
      </w:r>
      <w:r w:rsidRPr="008A7293">
        <w:rPr>
          <w:rFonts w:ascii="Garamond" w:hAnsi="Garamond"/>
          <w:sz w:val="22"/>
          <w:szCs w:val="22"/>
        </w:rPr>
        <w:t xml:space="preserve">Chicago: Holt, Rinehart, and </w:t>
      </w:r>
      <w:proofErr w:type="spellStart"/>
      <w:r w:rsidRPr="008A7293">
        <w:rPr>
          <w:rFonts w:ascii="Garamond" w:hAnsi="Garamond"/>
          <w:sz w:val="22"/>
          <w:szCs w:val="22"/>
        </w:rPr>
        <w:t>Wonston</w:t>
      </w:r>
      <w:proofErr w:type="spellEnd"/>
      <w:r w:rsidRPr="008A7293">
        <w:rPr>
          <w:rFonts w:ascii="Garamond" w:hAnsi="Garamond"/>
          <w:sz w:val="22"/>
          <w:szCs w:val="22"/>
        </w:rPr>
        <w:t xml:space="preserve">, Inc. </w:t>
      </w:r>
    </w:p>
    <w:p w:rsidR="00CC05EB" w:rsidRPr="008A7293" w:rsidRDefault="00CC05EB" w:rsidP="00581E5A">
      <w:pPr>
        <w:widowControl/>
        <w:spacing w:after="60"/>
        <w:ind w:left="432" w:hanging="432"/>
        <w:jc w:val="left"/>
        <w:rPr>
          <w:rFonts w:ascii="Garamond" w:hAnsi="Garamond"/>
          <w:sz w:val="22"/>
          <w:szCs w:val="22"/>
        </w:rPr>
      </w:pPr>
      <w:proofErr w:type="spellStart"/>
      <w:proofErr w:type="gramStart"/>
      <w:r w:rsidRPr="008A7293">
        <w:rPr>
          <w:rFonts w:ascii="Garamond" w:hAnsi="Garamond"/>
          <w:sz w:val="22"/>
          <w:szCs w:val="22"/>
        </w:rPr>
        <w:t>Notar</w:t>
      </w:r>
      <w:proofErr w:type="spellEnd"/>
      <w:r w:rsidRPr="008A7293">
        <w:rPr>
          <w:rFonts w:ascii="Garamond" w:hAnsi="Garamond"/>
          <w:sz w:val="22"/>
          <w:szCs w:val="22"/>
        </w:rPr>
        <w:t xml:space="preserve">, C.E., </w:t>
      </w:r>
      <w:proofErr w:type="spellStart"/>
      <w:r w:rsidRPr="008A7293">
        <w:rPr>
          <w:rFonts w:ascii="Garamond" w:hAnsi="Garamond"/>
          <w:sz w:val="22"/>
          <w:szCs w:val="22"/>
        </w:rPr>
        <w:t>Zuelke</w:t>
      </w:r>
      <w:proofErr w:type="spellEnd"/>
      <w:r w:rsidRPr="008A7293">
        <w:rPr>
          <w:rFonts w:ascii="Garamond" w:hAnsi="Garamond"/>
          <w:sz w:val="22"/>
          <w:szCs w:val="22"/>
        </w:rPr>
        <w:t xml:space="preserve">, D. C., Wilson, J. D. &amp; </w:t>
      </w:r>
      <w:proofErr w:type="spellStart"/>
      <w:r w:rsidRPr="008A7293">
        <w:rPr>
          <w:rFonts w:ascii="Garamond" w:hAnsi="Garamond"/>
          <w:sz w:val="22"/>
          <w:szCs w:val="22"/>
        </w:rPr>
        <w:t>Yunker</w:t>
      </w:r>
      <w:proofErr w:type="spellEnd"/>
      <w:r w:rsidRPr="008A7293">
        <w:rPr>
          <w:rFonts w:ascii="Garamond" w:hAnsi="Garamond"/>
          <w:sz w:val="22"/>
          <w:szCs w:val="22"/>
        </w:rPr>
        <w:t>, B. D. (2004).</w:t>
      </w:r>
      <w:proofErr w:type="gramEnd"/>
      <w:r w:rsidRPr="008A7293">
        <w:rPr>
          <w:rFonts w:ascii="Garamond" w:hAnsi="Garamond"/>
          <w:sz w:val="22"/>
          <w:szCs w:val="22"/>
        </w:rPr>
        <w:t xml:space="preserve"> The table of specifications: Insuring accountability in teacher made tests. </w:t>
      </w:r>
      <w:r w:rsidRPr="008A7293">
        <w:rPr>
          <w:rFonts w:ascii="Garamond" w:hAnsi="Garamond"/>
          <w:i/>
          <w:iCs/>
          <w:sz w:val="22"/>
          <w:szCs w:val="22"/>
        </w:rPr>
        <w:t xml:space="preserve">Journal of Instructional Psychology, 31, </w:t>
      </w:r>
      <w:r w:rsidRPr="008A7293">
        <w:rPr>
          <w:rFonts w:ascii="Garamond" w:hAnsi="Garamond"/>
          <w:sz w:val="22"/>
          <w:szCs w:val="22"/>
        </w:rPr>
        <w:t>115-129.</w:t>
      </w:r>
    </w:p>
    <w:p w:rsidR="00CC05EB" w:rsidRPr="008A7293" w:rsidRDefault="00CC05EB" w:rsidP="00581E5A">
      <w:pPr>
        <w:pStyle w:val="BodyTextIndent"/>
        <w:widowControl/>
        <w:tabs>
          <w:tab w:val="clear" w:pos="720"/>
        </w:tabs>
        <w:spacing w:after="60"/>
        <w:ind w:left="432" w:hanging="432"/>
        <w:jc w:val="left"/>
        <w:rPr>
          <w:rFonts w:ascii="Garamond" w:hAnsi="Garamond"/>
          <w:sz w:val="22"/>
          <w:szCs w:val="22"/>
        </w:rPr>
      </w:pPr>
      <w:proofErr w:type="gramStart"/>
      <w:r w:rsidRPr="008A7293">
        <w:rPr>
          <w:rFonts w:ascii="Garamond" w:hAnsi="Garamond"/>
          <w:sz w:val="22"/>
          <w:szCs w:val="22"/>
        </w:rPr>
        <w:t>Reynolds, C. R., Livingston, R. B., &amp; Wilson, V. (2006).</w:t>
      </w:r>
      <w:proofErr w:type="gramEnd"/>
      <w:r w:rsidRPr="008A7293">
        <w:rPr>
          <w:rFonts w:ascii="Garamond" w:hAnsi="Garamond"/>
          <w:sz w:val="22"/>
          <w:szCs w:val="22"/>
        </w:rPr>
        <w:t xml:space="preserve"> </w:t>
      </w:r>
      <w:proofErr w:type="gramStart"/>
      <w:r w:rsidRPr="008A7293">
        <w:rPr>
          <w:rFonts w:ascii="Garamond" w:hAnsi="Garamond"/>
          <w:i/>
          <w:sz w:val="22"/>
          <w:szCs w:val="22"/>
        </w:rPr>
        <w:t>Measurement and Assessment in Education.</w:t>
      </w:r>
      <w:proofErr w:type="gramEnd"/>
      <w:r w:rsidRPr="008A7293">
        <w:rPr>
          <w:rFonts w:ascii="Garamond" w:hAnsi="Garamond"/>
          <w:i/>
          <w:sz w:val="22"/>
          <w:szCs w:val="22"/>
        </w:rPr>
        <w:t xml:space="preserve"> </w:t>
      </w:r>
      <w:r w:rsidRPr="008A7293">
        <w:rPr>
          <w:rFonts w:ascii="Garamond" w:hAnsi="Garamond"/>
          <w:sz w:val="22"/>
          <w:szCs w:val="22"/>
        </w:rPr>
        <w:t>Pearson: Boston.</w:t>
      </w:r>
    </w:p>
    <w:p w:rsidR="00B1429F" w:rsidRPr="00581E5A" w:rsidRDefault="00CC05EB" w:rsidP="00581E5A">
      <w:pPr>
        <w:widowControl/>
        <w:spacing w:after="60"/>
        <w:ind w:left="432" w:hanging="432"/>
        <w:jc w:val="left"/>
        <w:rPr>
          <w:rFonts w:ascii="Garamond" w:eastAsia="Times New Roman" w:hAnsi="Garamond"/>
          <w:i/>
          <w:color w:val="000000"/>
          <w:sz w:val="22"/>
          <w:szCs w:val="22"/>
        </w:rPr>
      </w:pPr>
      <w:proofErr w:type="spellStart"/>
      <w:proofErr w:type="gramStart"/>
      <w:r w:rsidRPr="008A7293">
        <w:rPr>
          <w:rFonts w:ascii="Garamond" w:eastAsia="Times New Roman" w:hAnsi="Garamond"/>
          <w:color w:val="000000"/>
          <w:sz w:val="22"/>
          <w:szCs w:val="22"/>
        </w:rPr>
        <w:t>Wolming</w:t>
      </w:r>
      <w:proofErr w:type="spellEnd"/>
      <w:r w:rsidRPr="008A7293">
        <w:rPr>
          <w:rFonts w:ascii="Garamond" w:eastAsia="Times New Roman" w:hAnsi="Garamond"/>
          <w:color w:val="000000"/>
          <w:sz w:val="22"/>
          <w:szCs w:val="22"/>
        </w:rPr>
        <w:t xml:space="preserve">, S. &amp; </w:t>
      </w:r>
      <w:proofErr w:type="spellStart"/>
      <w:r w:rsidRPr="008A7293">
        <w:rPr>
          <w:rFonts w:ascii="Garamond" w:eastAsia="Times New Roman" w:hAnsi="Garamond"/>
          <w:color w:val="000000"/>
          <w:sz w:val="22"/>
          <w:szCs w:val="22"/>
        </w:rPr>
        <w:t>Wikstrom</w:t>
      </w:r>
      <w:proofErr w:type="spellEnd"/>
      <w:r w:rsidRPr="008A7293">
        <w:rPr>
          <w:rFonts w:ascii="Garamond" w:eastAsia="Times New Roman" w:hAnsi="Garamond"/>
          <w:color w:val="000000"/>
          <w:sz w:val="22"/>
          <w:szCs w:val="22"/>
        </w:rPr>
        <w:t>, C. (2010).</w:t>
      </w:r>
      <w:proofErr w:type="gramEnd"/>
      <w:r w:rsidRPr="008A7293">
        <w:rPr>
          <w:rFonts w:ascii="Garamond" w:eastAsia="Times New Roman" w:hAnsi="Garamond"/>
          <w:color w:val="000000"/>
          <w:sz w:val="22"/>
          <w:szCs w:val="22"/>
        </w:rPr>
        <w:t xml:space="preserve"> </w:t>
      </w:r>
      <w:proofErr w:type="gramStart"/>
      <w:r w:rsidRPr="008A7293">
        <w:rPr>
          <w:rFonts w:ascii="Garamond" w:eastAsia="Times New Roman" w:hAnsi="Garamond"/>
          <w:color w:val="000000"/>
          <w:sz w:val="22"/>
          <w:szCs w:val="22"/>
        </w:rPr>
        <w:t>The concept of validity in theory and practice.</w:t>
      </w:r>
      <w:proofErr w:type="gramEnd"/>
      <w:r w:rsidRPr="008A7293">
        <w:rPr>
          <w:rFonts w:ascii="Garamond" w:eastAsia="Times New Roman" w:hAnsi="Garamond"/>
          <w:color w:val="000000"/>
          <w:sz w:val="22"/>
          <w:szCs w:val="22"/>
        </w:rPr>
        <w:t xml:space="preserve"> </w:t>
      </w:r>
      <w:r w:rsidRPr="008A7293">
        <w:rPr>
          <w:rFonts w:ascii="Garamond" w:eastAsia="Times New Roman" w:hAnsi="Garamond"/>
          <w:i/>
          <w:sz w:val="22"/>
          <w:szCs w:val="22"/>
        </w:rPr>
        <w:t>Assessment in Education: Principles, Policy &amp; Practice, 17,</w:t>
      </w:r>
      <w:r w:rsidRPr="008A7293">
        <w:rPr>
          <w:rFonts w:ascii="Garamond" w:eastAsia="Times New Roman" w:hAnsi="Garamond"/>
          <w:sz w:val="22"/>
          <w:szCs w:val="22"/>
        </w:rPr>
        <w:t xml:space="preserve"> 117-132.</w:t>
      </w:r>
    </w:p>
    <w:p w:rsidR="00194680" w:rsidRDefault="00194680" w:rsidP="0040043D">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left" w:pos="10800"/>
        </w:tabs>
        <w:spacing w:before="240" w:after="120"/>
        <w:rPr>
          <w:rFonts w:ascii="Garamond" w:hAnsi="Garamond" w:cs="Garamond"/>
          <w:b/>
          <w:bCs/>
          <w:color w:val="0000FF"/>
        </w:rPr>
      </w:pPr>
    </w:p>
    <w:p w:rsidR="00B1429F" w:rsidRDefault="00B1429F" w:rsidP="0040043D">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left" w:pos="10800"/>
        </w:tabs>
        <w:spacing w:before="240" w:after="120"/>
        <w:rPr>
          <w:rFonts w:ascii="Garamond" w:hAnsi="Garamond" w:cs="Garamond"/>
          <w:b/>
          <w:bCs/>
          <w:color w:val="0000FF"/>
        </w:rPr>
        <w:sectPr w:rsidR="00B1429F" w:rsidSect="00EF741B">
          <w:type w:val="continuous"/>
          <w:pgSz w:w="12240" w:h="15840" w:code="1"/>
          <w:pgMar w:top="432" w:right="720" w:bottom="432" w:left="720" w:header="720" w:footer="1440" w:gutter="0"/>
          <w:cols w:num="2" w:space="432"/>
          <w:noEndnote/>
        </w:sectPr>
      </w:pPr>
    </w:p>
    <w:p w:rsidR="00453CA1" w:rsidRDefault="00453CA1" w:rsidP="0040043D">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left" w:pos="10800"/>
        </w:tabs>
        <w:spacing w:before="240" w:after="120"/>
        <w:rPr>
          <w:rFonts w:ascii="Garamond" w:hAnsi="Garamond" w:cs="Garamond"/>
          <w:b/>
          <w:bCs/>
          <w:color w:val="0000FF"/>
        </w:rPr>
      </w:pPr>
    </w:p>
    <w:p w:rsidR="00453CA1" w:rsidRPr="0042280B" w:rsidRDefault="00453CA1" w:rsidP="0042280B">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jc w:val="center"/>
        <w:rPr>
          <w:rFonts w:ascii="Arial" w:hAnsi="Arial" w:cs="Arial"/>
          <w:b/>
          <w:bCs/>
          <w:color w:val="0000FF"/>
        </w:rPr>
      </w:pPr>
      <w:r w:rsidRPr="0042280B">
        <w:rPr>
          <w:rFonts w:ascii="Arial" w:hAnsi="Arial" w:cs="Arial"/>
          <w:b/>
          <w:bCs/>
          <w:color w:val="0000FF"/>
        </w:rPr>
        <w:t>Appendix</w:t>
      </w:r>
      <w:r w:rsidR="005E27DC">
        <w:rPr>
          <w:rFonts w:ascii="Arial" w:hAnsi="Arial" w:cs="Arial"/>
          <w:b/>
          <w:bCs/>
          <w:color w:val="0000FF"/>
        </w:rPr>
        <w:t xml:space="preserve"> 1</w:t>
      </w:r>
      <w:r w:rsidRPr="0042280B">
        <w:rPr>
          <w:rFonts w:ascii="Arial" w:hAnsi="Arial" w:cs="Arial"/>
          <w:b/>
          <w:bCs/>
          <w:color w:val="0000FF"/>
        </w:rPr>
        <w:t xml:space="preserve"> </w:t>
      </w:r>
    </w:p>
    <w:p w:rsidR="00453CA1" w:rsidRDefault="00453CA1" w:rsidP="0040043D">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left" w:pos="10800"/>
        </w:tabs>
        <w:spacing w:before="240" w:after="120"/>
        <w:rPr>
          <w:rFonts w:ascii="Garamond" w:hAnsi="Garamond" w:cs="Garamond"/>
          <w:b/>
          <w:bCs/>
          <w:color w:val="0000FF"/>
        </w:rPr>
      </w:pPr>
    </w:p>
    <w:p w:rsidR="000E71C9" w:rsidRPr="00CF12B1" w:rsidRDefault="000E71C9" w:rsidP="0040043D">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left" w:pos="10800"/>
        </w:tabs>
        <w:spacing w:before="240" w:after="120"/>
        <w:rPr>
          <w:rFonts w:ascii="Garamond" w:hAnsi="Garamond" w:cs="Garamond"/>
          <w:b/>
          <w:bCs/>
          <w:color w:val="0000FF"/>
        </w:rPr>
      </w:pPr>
      <w:r w:rsidRPr="00CF12B1">
        <w:rPr>
          <w:rFonts w:ascii="Garamond" w:hAnsi="Garamond" w:cs="Garamond"/>
          <w:b/>
          <w:bCs/>
          <w:color w:val="0000FF"/>
        </w:rPr>
        <w:t>Citation:</w:t>
      </w:r>
    </w:p>
    <w:p w:rsidR="000E71C9" w:rsidRPr="00CF12B1" w:rsidRDefault="007840ED" w:rsidP="007840ED">
      <w:pPr>
        <w:widowControl/>
        <w:ind w:left="432"/>
        <w:jc w:val="left"/>
        <w:outlineLvl w:val="0"/>
        <w:rPr>
          <w:rStyle w:val="SYSHYPERTEXT"/>
          <w:rFonts w:ascii="Garamond" w:hAnsi="Garamond" w:cs="Garamond"/>
        </w:rPr>
      </w:pPr>
      <w:proofErr w:type="gramStart"/>
      <w:r w:rsidRPr="007840ED">
        <w:rPr>
          <w:rFonts w:ascii="Garamond" w:hAnsi="Garamond"/>
        </w:rPr>
        <w:t>Fives</w:t>
      </w:r>
      <w:r>
        <w:rPr>
          <w:rFonts w:ascii="Garamond" w:hAnsi="Garamond"/>
        </w:rPr>
        <w:t>,</w:t>
      </w:r>
      <w:r w:rsidRPr="007840ED">
        <w:rPr>
          <w:rFonts w:ascii="Garamond" w:hAnsi="Garamond"/>
        </w:rPr>
        <w:t xml:space="preserve"> Helenrose &amp; </w:t>
      </w:r>
      <w:proofErr w:type="spellStart"/>
      <w:r w:rsidRPr="007840ED">
        <w:rPr>
          <w:rFonts w:ascii="Garamond" w:hAnsi="Garamond"/>
        </w:rPr>
        <w:t>DiDonato</w:t>
      </w:r>
      <w:proofErr w:type="spellEnd"/>
      <w:r w:rsidRPr="007840ED">
        <w:rPr>
          <w:rFonts w:ascii="Garamond" w:hAnsi="Garamond"/>
        </w:rPr>
        <w:t>-Barnes</w:t>
      </w:r>
      <w:r>
        <w:rPr>
          <w:rFonts w:ascii="Garamond" w:hAnsi="Garamond"/>
        </w:rPr>
        <w:t>,</w:t>
      </w:r>
      <w:r w:rsidRPr="007840ED">
        <w:rPr>
          <w:rFonts w:ascii="Garamond" w:hAnsi="Garamond"/>
        </w:rPr>
        <w:t xml:space="preserve"> Nicole</w:t>
      </w:r>
      <w:r w:rsidRPr="00CF12B1">
        <w:rPr>
          <w:rFonts w:ascii="Garamond" w:hAnsi="Garamond"/>
        </w:rPr>
        <w:t xml:space="preserve"> </w:t>
      </w:r>
      <w:r w:rsidR="000E71C9" w:rsidRPr="00CF12B1">
        <w:rPr>
          <w:rFonts w:ascii="Garamond" w:hAnsi="Garamond"/>
        </w:rPr>
        <w:t>(201</w:t>
      </w:r>
      <w:r w:rsidR="00CD73BD">
        <w:rPr>
          <w:rFonts w:ascii="Garamond" w:hAnsi="Garamond"/>
        </w:rPr>
        <w:t>3).</w:t>
      </w:r>
      <w:proofErr w:type="gramEnd"/>
      <w:r w:rsidR="00CD73BD">
        <w:rPr>
          <w:rFonts w:ascii="Garamond" w:hAnsi="Garamond"/>
        </w:rPr>
        <w:t xml:space="preserve"> </w:t>
      </w:r>
      <w:r w:rsidRPr="007840ED">
        <w:rPr>
          <w:rFonts w:ascii="Garamond" w:hAnsi="Garamond"/>
        </w:rPr>
        <w:t>Classroom Test Construction: The Power of a Table of Specifications</w:t>
      </w:r>
      <w:r w:rsidR="009F4405" w:rsidRPr="00CF12B1">
        <w:rPr>
          <w:rFonts w:ascii="Garamond" w:hAnsi="Garamond"/>
        </w:rPr>
        <w:t>.</w:t>
      </w:r>
      <w:r w:rsidR="000E71C9" w:rsidRPr="00CF12B1">
        <w:rPr>
          <w:rFonts w:ascii="Garamond" w:hAnsi="Garamond"/>
        </w:rPr>
        <w:t xml:space="preserve"> </w:t>
      </w:r>
      <w:proofErr w:type="gramStart"/>
      <w:r w:rsidR="000E71C9" w:rsidRPr="00CF12B1">
        <w:rPr>
          <w:rFonts w:ascii="Garamond" w:hAnsi="Garamond"/>
          <w:i/>
          <w:iCs/>
        </w:rPr>
        <w:t>Practical Assessment, Research &amp; Evaluation</w:t>
      </w:r>
      <w:r w:rsidR="000E71C9" w:rsidRPr="00CF12B1">
        <w:rPr>
          <w:rFonts w:ascii="Garamond" w:hAnsi="Garamond"/>
        </w:rPr>
        <w:t>, 1</w:t>
      </w:r>
      <w:r w:rsidR="00CD73BD">
        <w:rPr>
          <w:rFonts w:ascii="Garamond" w:hAnsi="Garamond"/>
        </w:rPr>
        <w:t>8</w:t>
      </w:r>
      <w:r w:rsidR="000E71C9" w:rsidRPr="00CF12B1">
        <w:rPr>
          <w:rFonts w:ascii="Garamond" w:hAnsi="Garamond"/>
        </w:rPr>
        <w:t>(</w:t>
      </w:r>
      <w:r>
        <w:rPr>
          <w:rFonts w:ascii="Garamond" w:hAnsi="Garamond"/>
        </w:rPr>
        <w:t>4</w:t>
      </w:r>
      <w:r w:rsidR="000E71C9" w:rsidRPr="00CF12B1">
        <w:rPr>
          <w:rFonts w:ascii="Garamond" w:hAnsi="Garamond"/>
        </w:rPr>
        <w:t>).</w:t>
      </w:r>
      <w:proofErr w:type="gramEnd"/>
      <w:r w:rsidR="000E71C9" w:rsidRPr="00CF12B1">
        <w:rPr>
          <w:rFonts w:ascii="Garamond" w:hAnsi="Garamond"/>
        </w:rPr>
        <w:t xml:space="preserve"> Available online: </w:t>
      </w:r>
      <w:hyperlink r:id="rId13" w:history="1">
        <w:r w:rsidRPr="00B567CA">
          <w:rPr>
            <w:rStyle w:val="Hyperlink"/>
            <w:rFonts w:ascii="Garamond" w:hAnsi="Garamond" w:cs="Garamond"/>
          </w:rPr>
          <w:t>http://pareonline.net/getvn.asp?v=18&amp;n=4</w:t>
        </w:r>
      </w:hyperlink>
      <w:r w:rsidR="009F4405" w:rsidRPr="00CF12B1">
        <w:rPr>
          <w:rStyle w:val="Hyperlink"/>
          <w:rFonts w:ascii="Garamond" w:hAnsi="Garamond" w:cs="Garamond"/>
        </w:rPr>
        <w:t xml:space="preserve"> </w:t>
      </w:r>
    </w:p>
    <w:p w:rsidR="0096251B" w:rsidRPr="00CF12B1" w:rsidRDefault="0096251B" w:rsidP="00FA722A">
      <w:pPr>
        <w:keepLines/>
        <w:widowControl/>
        <w:ind w:left="432" w:hanging="432"/>
        <w:jc w:val="left"/>
        <w:rPr>
          <w:rFonts w:ascii="Garamond" w:hAnsi="Garamond"/>
          <w:b/>
          <w:bCs/>
          <w:iCs/>
          <w:color w:val="0000FF"/>
        </w:rPr>
      </w:pPr>
    </w:p>
    <w:p w:rsidR="000E71C9" w:rsidRPr="00CF12B1" w:rsidRDefault="00AA7FA4" w:rsidP="00FA722A">
      <w:pPr>
        <w:keepLines/>
        <w:widowControl/>
        <w:ind w:left="432" w:hanging="432"/>
        <w:jc w:val="left"/>
        <w:rPr>
          <w:rFonts w:ascii="Garamond" w:hAnsi="Garamond"/>
          <w:b/>
          <w:bCs/>
          <w:iCs/>
          <w:color w:val="0000FF"/>
        </w:rPr>
      </w:pPr>
      <w:r>
        <w:rPr>
          <w:rFonts w:ascii="Garamond" w:hAnsi="Garamond"/>
          <w:b/>
          <w:bCs/>
          <w:iCs/>
          <w:color w:val="0000FF"/>
        </w:rPr>
        <w:t xml:space="preserve">Corresponding </w:t>
      </w:r>
      <w:r w:rsidR="002C69D5" w:rsidRPr="00CF12B1">
        <w:rPr>
          <w:rFonts w:ascii="Garamond" w:hAnsi="Garamond"/>
          <w:b/>
          <w:bCs/>
          <w:iCs/>
          <w:color w:val="0000FF"/>
        </w:rPr>
        <w:t>Author</w:t>
      </w:r>
      <w:r w:rsidR="000E71C9" w:rsidRPr="00CF12B1">
        <w:rPr>
          <w:rFonts w:ascii="Garamond" w:hAnsi="Garamond"/>
          <w:b/>
          <w:bCs/>
          <w:iCs/>
          <w:color w:val="0000FF"/>
        </w:rPr>
        <w:t>:</w:t>
      </w:r>
    </w:p>
    <w:p w:rsidR="00EF741B" w:rsidRDefault="00EF741B" w:rsidP="00FA722A">
      <w:pPr>
        <w:widowControl/>
        <w:ind w:left="432"/>
        <w:outlineLvl w:val="0"/>
        <w:rPr>
          <w:rFonts w:ascii="Garamond" w:hAnsi="Garamond"/>
        </w:rPr>
      </w:pPr>
    </w:p>
    <w:p w:rsidR="006C304C" w:rsidRDefault="006C304C" w:rsidP="006C304C">
      <w:pPr>
        <w:widowControl/>
        <w:ind w:left="432"/>
        <w:outlineLvl w:val="0"/>
        <w:rPr>
          <w:rFonts w:ascii="Garamond" w:hAnsi="Garamond"/>
        </w:rPr>
      </w:pPr>
      <w:r>
        <w:rPr>
          <w:rFonts w:ascii="Garamond" w:hAnsi="Garamond"/>
        </w:rPr>
        <w:t>Helenrose Fives</w:t>
      </w:r>
    </w:p>
    <w:p w:rsidR="006C304C" w:rsidRDefault="006C304C" w:rsidP="006C304C">
      <w:pPr>
        <w:widowControl/>
        <w:ind w:left="432"/>
        <w:outlineLvl w:val="0"/>
        <w:rPr>
          <w:rFonts w:ascii="Garamond" w:hAnsi="Garamond"/>
        </w:rPr>
      </w:pPr>
      <w:r w:rsidRPr="006C304C">
        <w:rPr>
          <w:rFonts w:ascii="Garamond" w:hAnsi="Garamond"/>
        </w:rPr>
        <w:t>Departm</w:t>
      </w:r>
      <w:r>
        <w:rPr>
          <w:rFonts w:ascii="Garamond" w:hAnsi="Garamond"/>
        </w:rPr>
        <w:t>ent of Educational Foundations</w:t>
      </w:r>
    </w:p>
    <w:p w:rsidR="006C304C" w:rsidRDefault="006C304C" w:rsidP="006C304C">
      <w:pPr>
        <w:widowControl/>
        <w:ind w:left="432"/>
        <w:outlineLvl w:val="0"/>
        <w:rPr>
          <w:rFonts w:ascii="Garamond" w:hAnsi="Garamond"/>
        </w:rPr>
      </w:pPr>
      <w:r>
        <w:rPr>
          <w:rFonts w:ascii="Garamond" w:hAnsi="Garamond"/>
        </w:rPr>
        <w:t>Montclair State University</w:t>
      </w:r>
    </w:p>
    <w:p w:rsidR="006C304C" w:rsidRDefault="006C304C" w:rsidP="006C304C">
      <w:pPr>
        <w:widowControl/>
        <w:ind w:left="432"/>
        <w:outlineLvl w:val="0"/>
        <w:rPr>
          <w:rFonts w:ascii="Garamond" w:hAnsi="Garamond"/>
        </w:rPr>
      </w:pPr>
      <w:r w:rsidRPr="006C304C">
        <w:rPr>
          <w:rFonts w:ascii="Garamond" w:hAnsi="Garamond"/>
        </w:rPr>
        <w:t xml:space="preserve">Montclair, New Jersey 07043. </w:t>
      </w:r>
    </w:p>
    <w:p w:rsidR="00AA7FA4" w:rsidRPr="00AA7FA4" w:rsidRDefault="006C304C" w:rsidP="006C304C">
      <w:pPr>
        <w:widowControl/>
        <w:ind w:left="432"/>
        <w:outlineLvl w:val="0"/>
        <w:rPr>
          <w:rFonts w:ascii="Garamond" w:hAnsi="Garamond"/>
        </w:rPr>
      </w:pPr>
      <w:r>
        <w:rPr>
          <w:rFonts w:ascii="Garamond" w:hAnsi="Garamond"/>
        </w:rPr>
        <w:t xml:space="preserve">Email: </w:t>
      </w:r>
      <w:proofErr w:type="spellStart"/>
      <w:r>
        <w:rPr>
          <w:rFonts w:ascii="Garamond" w:hAnsi="Garamond"/>
        </w:rPr>
        <w:t>fivesh</w:t>
      </w:r>
      <w:proofErr w:type="spellEnd"/>
      <w:r>
        <w:rPr>
          <w:rFonts w:ascii="Garamond" w:hAnsi="Garamond"/>
        </w:rPr>
        <w:t xml:space="preserve"> [at] </w:t>
      </w:r>
      <w:r w:rsidRPr="006C304C">
        <w:rPr>
          <w:rFonts w:ascii="Garamond" w:hAnsi="Garamond"/>
        </w:rPr>
        <w:t>mail.montclair.edu</w:t>
      </w:r>
    </w:p>
    <w:sectPr w:rsidR="00AA7FA4" w:rsidRPr="00AA7FA4" w:rsidSect="00B1429F">
      <w:type w:val="continuous"/>
      <w:pgSz w:w="12240" w:h="15840" w:code="1"/>
      <w:pgMar w:top="432" w:right="720" w:bottom="432" w:left="720" w:header="720" w:footer="1440" w:gutter="0"/>
      <w:cols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A0" w:rsidRDefault="00E53EA0" w:rsidP="00B30220">
      <w:r>
        <w:separator/>
      </w:r>
    </w:p>
  </w:endnote>
  <w:endnote w:type="continuationSeparator" w:id="0">
    <w:p w:rsidR="00E53EA0" w:rsidRDefault="00E53EA0" w:rsidP="00B3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 R 17">
    <w:altName w:val="CM R"/>
    <w:panose1 w:val="00000000000000000000"/>
    <w:charset w:val="00"/>
    <w:family w:val="swiss"/>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DC" w:rsidRDefault="005E2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5E27DC" w:rsidRDefault="005E27DC">
    <w:pPr>
      <w:pStyle w:val="Footer"/>
      <w:ind w:right="360"/>
    </w:pPr>
  </w:p>
  <w:p w:rsidR="005E27DC" w:rsidRDefault="005E27DC"/>
  <w:p w:rsidR="000F5EDC" w:rsidRDefault="000F5E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DC" w:rsidRPr="0021662E" w:rsidRDefault="005E27DC" w:rsidP="00216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A0" w:rsidRDefault="00E53EA0" w:rsidP="00B30220">
      <w:r>
        <w:separator/>
      </w:r>
    </w:p>
  </w:footnote>
  <w:footnote w:type="continuationSeparator" w:id="0">
    <w:p w:rsidR="00E53EA0" w:rsidRDefault="00E53EA0" w:rsidP="00B30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DC" w:rsidRPr="00A67275" w:rsidRDefault="005E27DC" w:rsidP="007A3A99">
    <w:pPr>
      <w:widowControl/>
      <w:tabs>
        <w:tab w:val="clear" w:pos="5040"/>
        <w:tab w:val="clear" w:pos="5760"/>
        <w:tab w:val="clear" w:pos="6480"/>
        <w:tab w:val="clear" w:pos="7200"/>
        <w:tab w:val="clear" w:pos="7920"/>
        <w:tab w:val="clear" w:pos="8640"/>
        <w:tab w:val="right" w:pos="10710"/>
      </w:tabs>
      <w:jc w:val="left"/>
      <w:rPr>
        <w:rFonts w:ascii="Garamond" w:hAnsi="Garamond"/>
        <w:color w:val="040404"/>
        <w:sz w:val="22"/>
        <w:szCs w:val="22"/>
        <w:lang w:val="en-GB"/>
      </w:rPr>
    </w:pPr>
    <w:r w:rsidRPr="00A67275">
      <w:rPr>
        <w:rFonts w:ascii="Garamond" w:hAnsi="Garamond" w:cs="Garamond"/>
        <w:i/>
        <w:iCs/>
        <w:sz w:val="22"/>
        <w:szCs w:val="22"/>
      </w:rPr>
      <w:t xml:space="preserve">Practical Assessment, Research &amp; Evaluation, </w:t>
    </w:r>
    <w:proofErr w:type="spellStart"/>
    <w:r w:rsidRPr="00A67275">
      <w:rPr>
        <w:rFonts w:ascii="Garamond" w:hAnsi="Garamond" w:cs="Garamond"/>
        <w:i/>
        <w:iCs/>
        <w:sz w:val="22"/>
        <w:szCs w:val="22"/>
      </w:rPr>
      <w:t>Vol</w:t>
    </w:r>
    <w:proofErr w:type="spellEnd"/>
    <w:r w:rsidRPr="00A67275">
      <w:rPr>
        <w:rFonts w:ascii="Garamond" w:hAnsi="Garamond" w:cs="Garamond"/>
        <w:i/>
        <w:iCs/>
        <w:sz w:val="22"/>
        <w:szCs w:val="22"/>
      </w:rPr>
      <w:t xml:space="preserve"> 1</w:t>
    </w:r>
    <w:r>
      <w:rPr>
        <w:rFonts w:ascii="Garamond" w:hAnsi="Garamond" w:cs="Garamond"/>
        <w:i/>
        <w:iCs/>
        <w:sz w:val="22"/>
        <w:szCs w:val="22"/>
      </w:rPr>
      <w:t>8</w:t>
    </w:r>
    <w:r w:rsidRPr="00A67275">
      <w:rPr>
        <w:rFonts w:ascii="Garamond" w:hAnsi="Garamond" w:cs="Garamond"/>
        <w:i/>
        <w:iCs/>
        <w:sz w:val="22"/>
        <w:szCs w:val="22"/>
      </w:rPr>
      <w:t xml:space="preserve">, No </w:t>
    </w:r>
    <w:r w:rsidR="007840ED">
      <w:rPr>
        <w:rFonts w:ascii="Garamond" w:hAnsi="Garamond" w:cs="Garamond"/>
        <w:i/>
        <w:iCs/>
        <w:sz w:val="22"/>
        <w:szCs w:val="22"/>
      </w:rPr>
      <w:t>4</w:t>
    </w:r>
    <w:r>
      <w:rPr>
        <w:rFonts w:ascii="Garamond" w:hAnsi="Garamond" w:cs="Garamond"/>
        <w:i/>
        <w:iCs/>
        <w:sz w:val="22"/>
        <w:szCs w:val="22"/>
      </w:rPr>
      <w:tab/>
    </w:r>
    <w:r w:rsidRPr="00A67275">
      <w:rPr>
        <w:rFonts w:ascii="Garamond" w:hAnsi="Garamond" w:cs="Garamond"/>
        <w:iCs/>
        <w:sz w:val="22"/>
        <w:szCs w:val="22"/>
      </w:rPr>
      <w:t xml:space="preserve">Page </w:t>
    </w:r>
    <w:r w:rsidRPr="00A67275">
      <w:rPr>
        <w:rFonts w:ascii="Garamond" w:hAnsi="Garamond" w:cs="Garamond"/>
        <w:iCs/>
        <w:sz w:val="22"/>
        <w:szCs w:val="22"/>
      </w:rPr>
      <w:fldChar w:fldCharType="begin"/>
    </w:r>
    <w:r w:rsidRPr="00A67275">
      <w:rPr>
        <w:rFonts w:ascii="Garamond" w:hAnsi="Garamond" w:cs="Garamond"/>
        <w:iCs/>
        <w:sz w:val="22"/>
        <w:szCs w:val="22"/>
      </w:rPr>
      <w:instrText xml:space="preserve"> PAGE   \* MERGEFORMAT </w:instrText>
    </w:r>
    <w:r w:rsidRPr="00A67275">
      <w:rPr>
        <w:rFonts w:ascii="Garamond" w:hAnsi="Garamond" w:cs="Garamond"/>
        <w:iCs/>
        <w:sz w:val="22"/>
        <w:szCs w:val="22"/>
      </w:rPr>
      <w:fldChar w:fldCharType="separate"/>
    </w:r>
    <w:r w:rsidR="007D4649">
      <w:rPr>
        <w:rFonts w:ascii="Garamond" w:hAnsi="Garamond" w:cs="Garamond"/>
        <w:iCs/>
        <w:noProof/>
        <w:sz w:val="22"/>
        <w:szCs w:val="22"/>
      </w:rPr>
      <w:t>2</w:t>
    </w:r>
    <w:r w:rsidRPr="00A67275">
      <w:rPr>
        <w:rFonts w:ascii="Garamond" w:hAnsi="Garamond" w:cs="Garamond"/>
        <w:iCs/>
        <w:sz w:val="22"/>
        <w:szCs w:val="22"/>
      </w:rPr>
      <w:fldChar w:fldCharType="end"/>
    </w:r>
  </w:p>
  <w:p w:rsidR="005E27DC" w:rsidRDefault="007840ED">
    <w:pPr>
      <w:widowControl/>
      <w:tabs>
        <w:tab w:val="clear" w:pos="8640"/>
      </w:tabs>
      <w:jc w:val="left"/>
      <w:rPr>
        <w:rFonts w:ascii="Garamond" w:hAnsi="Garamond"/>
      </w:rPr>
    </w:pPr>
    <w:r w:rsidRPr="007840ED">
      <w:rPr>
        <w:rFonts w:ascii="Garamond" w:hAnsi="Garamond"/>
      </w:rPr>
      <w:t xml:space="preserve">Fives &amp; </w:t>
    </w:r>
    <w:proofErr w:type="spellStart"/>
    <w:r w:rsidRPr="007840ED">
      <w:rPr>
        <w:rFonts w:ascii="Garamond" w:hAnsi="Garamond"/>
      </w:rPr>
      <w:t>DiDonato</w:t>
    </w:r>
    <w:proofErr w:type="spellEnd"/>
    <w:r w:rsidRPr="007840ED">
      <w:rPr>
        <w:rFonts w:ascii="Garamond" w:hAnsi="Garamond"/>
      </w:rPr>
      <w:t>-Barnes, Table of Specifications</w:t>
    </w:r>
  </w:p>
  <w:p w:rsidR="007840ED" w:rsidRPr="00A67275" w:rsidRDefault="007840ED">
    <w:pPr>
      <w:widowControl/>
      <w:tabs>
        <w:tab w:val="clear" w:pos="8640"/>
      </w:tabs>
      <w:jc w:val="left"/>
      <w:rPr>
        <w:rFonts w:ascii="Garamond" w:hAnsi="Garamond" w:cs="Garamond"/>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265"/>
    <w:multiLevelType w:val="hybridMultilevel"/>
    <w:tmpl w:val="3A2E4594"/>
    <w:lvl w:ilvl="0" w:tplc="27DEB3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967D71"/>
    <w:multiLevelType w:val="hybridMultilevel"/>
    <w:tmpl w:val="6B3E9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B96CA8"/>
    <w:multiLevelType w:val="hybridMultilevel"/>
    <w:tmpl w:val="6924FE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71C0F"/>
    <w:multiLevelType w:val="hybridMultilevel"/>
    <w:tmpl w:val="62CA749E"/>
    <w:lvl w:ilvl="0" w:tplc="B380DC9C">
      <w:start w:val="1"/>
      <w:numFmt w:val="lowerLetter"/>
      <w:lvlText w:val="%1."/>
      <w:lvlJc w:val="left"/>
      <w:pPr>
        <w:tabs>
          <w:tab w:val="num" w:pos="720"/>
        </w:tabs>
        <w:ind w:left="720" w:hanging="360"/>
      </w:pPr>
      <w:rPr>
        <w:rFonts w:hint="default"/>
      </w:rPr>
    </w:lvl>
    <w:lvl w:ilvl="1" w:tplc="D8467DE4">
      <w:start w:val="1"/>
      <w:numFmt w:val="decimal"/>
      <w:lvlText w:val="%2."/>
      <w:lvlJc w:val="left"/>
      <w:pPr>
        <w:ind w:left="1440" w:hanging="360"/>
      </w:pPr>
      <w:rPr>
        <w:rFonts w:hint="default"/>
      </w:rPr>
    </w:lvl>
    <w:lvl w:ilvl="2" w:tplc="7CC2A720" w:tentative="1">
      <w:start w:val="1"/>
      <w:numFmt w:val="lowerLetter"/>
      <w:lvlText w:val="%3)"/>
      <w:lvlJc w:val="left"/>
      <w:pPr>
        <w:tabs>
          <w:tab w:val="num" w:pos="2160"/>
        </w:tabs>
        <w:ind w:left="2160" w:hanging="360"/>
      </w:pPr>
    </w:lvl>
    <w:lvl w:ilvl="3" w:tplc="2278DFE4" w:tentative="1">
      <w:start w:val="1"/>
      <w:numFmt w:val="lowerLetter"/>
      <w:lvlText w:val="%4)"/>
      <w:lvlJc w:val="left"/>
      <w:pPr>
        <w:tabs>
          <w:tab w:val="num" w:pos="2880"/>
        </w:tabs>
        <w:ind w:left="2880" w:hanging="360"/>
      </w:pPr>
    </w:lvl>
    <w:lvl w:ilvl="4" w:tplc="F342B478" w:tentative="1">
      <w:start w:val="1"/>
      <w:numFmt w:val="lowerLetter"/>
      <w:lvlText w:val="%5)"/>
      <w:lvlJc w:val="left"/>
      <w:pPr>
        <w:tabs>
          <w:tab w:val="num" w:pos="3600"/>
        </w:tabs>
        <w:ind w:left="3600" w:hanging="360"/>
      </w:pPr>
    </w:lvl>
    <w:lvl w:ilvl="5" w:tplc="E28CA022" w:tentative="1">
      <w:start w:val="1"/>
      <w:numFmt w:val="lowerLetter"/>
      <w:lvlText w:val="%6)"/>
      <w:lvlJc w:val="left"/>
      <w:pPr>
        <w:tabs>
          <w:tab w:val="num" w:pos="4320"/>
        </w:tabs>
        <w:ind w:left="4320" w:hanging="360"/>
      </w:pPr>
    </w:lvl>
    <w:lvl w:ilvl="6" w:tplc="C15EE1DC" w:tentative="1">
      <w:start w:val="1"/>
      <w:numFmt w:val="lowerLetter"/>
      <w:lvlText w:val="%7)"/>
      <w:lvlJc w:val="left"/>
      <w:pPr>
        <w:tabs>
          <w:tab w:val="num" w:pos="5040"/>
        </w:tabs>
        <w:ind w:left="5040" w:hanging="360"/>
      </w:pPr>
    </w:lvl>
    <w:lvl w:ilvl="7" w:tplc="574C525C" w:tentative="1">
      <w:start w:val="1"/>
      <w:numFmt w:val="lowerLetter"/>
      <w:lvlText w:val="%8)"/>
      <w:lvlJc w:val="left"/>
      <w:pPr>
        <w:tabs>
          <w:tab w:val="num" w:pos="5760"/>
        </w:tabs>
        <w:ind w:left="5760" w:hanging="360"/>
      </w:pPr>
    </w:lvl>
    <w:lvl w:ilvl="8" w:tplc="F9A0FBCC" w:tentative="1">
      <w:start w:val="1"/>
      <w:numFmt w:val="lowerLetter"/>
      <w:lvlText w:val="%9)"/>
      <w:lvlJc w:val="left"/>
      <w:pPr>
        <w:tabs>
          <w:tab w:val="num" w:pos="6480"/>
        </w:tabs>
        <w:ind w:left="6480" w:hanging="360"/>
      </w:pPr>
    </w:lvl>
  </w:abstractNum>
  <w:abstractNum w:abstractNumId="4">
    <w:nsid w:val="0B254B38"/>
    <w:multiLevelType w:val="hybridMultilevel"/>
    <w:tmpl w:val="D584A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0E7D7F"/>
    <w:multiLevelType w:val="hybridMultilevel"/>
    <w:tmpl w:val="7932E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0EB8618F"/>
    <w:multiLevelType w:val="hybridMultilevel"/>
    <w:tmpl w:val="0F741A60"/>
    <w:lvl w:ilvl="0" w:tplc="830CCC04">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3A1665"/>
    <w:multiLevelType w:val="hybridMultilevel"/>
    <w:tmpl w:val="5A28170E"/>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nsid w:val="11AB05F2"/>
    <w:multiLevelType w:val="hybridMultilevel"/>
    <w:tmpl w:val="D2F0EB1C"/>
    <w:lvl w:ilvl="0" w:tplc="13481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4906E7"/>
    <w:multiLevelType w:val="hybridMultilevel"/>
    <w:tmpl w:val="1A5A4856"/>
    <w:lvl w:ilvl="0" w:tplc="D834D3B4">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A3B2C"/>
    <w:multiLevelType w:val="hybridMultilevel"/>
    <w:tmpl w:val="A3AA4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15778"/>
    <w:multiLevelType w:val="hybridMultilevel"/>
    <w:tmpl w:val="CD084F0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239375BE"/>
    <w:multiLevelType w:val="hybridMultilevel"/>
    <w:tmpl w:val="606EDFC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772BFA"/>
    <w:multiLevelType w:val="hybridMultilevel"/>
    <w:tmpl w:val="F086E71C"/>
    <w:lvl w:ilvl="0" w:tplc="D6446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6541F"/>
    <w:multiLevelType w:val="hybridMultilevel"/>
    <w:tmpl w:val="E96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60264E"/>
    <w:multiLevelType w:val="hybridMultilevel"/>
    <w:tmpl w:val="73224ED4"/>
    <w:lvl w:ilvl="0" w:tplc="7700C272">
      <w:start w:val="1"/>
      <w:numFmt w:val="lowerLetter"/>
      <w:lvlText w:val="%1."/>
      <w:lvlJc w:val="left"/>
      <w:pPr>
        <w:tabs>
          <w:tab w:val="num" w:pos="720"/>
        </w:tabs>
        <w:ind w:left="720" w:hanging="360"/>
      </w:pPr>
      <w:rPr>
        <w:rFonts w:hint="default"/>
      </w:rPr>
    </w:lvl>
    <w:lvl w:ilvl="1" w:tplc="41802C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5D0CED"/>
    <w:multiLevelType w:val="hybridMultilevel"/>
    <w:tmpl w:val="3790140A"/>
    <w:lvl w:ilvl="0" w:tplc="830CCC04">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85E18"/>
    <w:multiLevelType w:val="hybridMultilevel"/>
    <w:tmpl w:val="241CD090"/>
    <w:lvl w:ilvl="0" w:tplc="B380DC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323878"/>
    <w:multiLevelType w:val="hybridMultilevel"/>
    <w:tmpl w:val="AC34D1CA"/>
    <w:lvl w:ilvl="0" w:tplc="365CB184">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41453A"/>
    <w:multiLevelType w:val="hybridMultilevel"/>
    <w:tmpl w:val="34A409BC"/>
    <w:lvl w:ilvl="0" w:tplc="A49A492A">
      <w:start w:val="1"/>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0">
    <w:nsid w:val="404F5A7D"/>
    <w:multiLevelType w:val="hybridMultilevel"/>
    <w:tmpl w:val="DC74D238"/>
    <w:lvl w:ilvl="0" w:tplc="A4F02D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0E70D7D"/>
    <w:multiLevelType w:val="hybridMultilevel"/>
    <w:tmpl w:val="60040F12"/>
    <w:lvl w:ilvl="0" w:tplc="830CCC04">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8C3BCE"/>
    <w:multiLevelType w:val="hybridMultilevel"/>
    <w:tmpl w:val="200CCD90"/>
    <w:lvl w:ilvl="0" w:tplc="1F72C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720DAE"/>
    <w:multiLevelType w:val="hybridMultilevel"/>
    <w:tmpl w:val="0E38D97A"/>
    <w:lvl w:ilvl="0" w:tplc="9A4832CE">
      <w:start w:val="1"/>
      <w:numFmt w:val="lowerLetter"/>
      <w:lvlText w:val="%1."/>
      <w:lvlJc w:val="left"/>
      <w:pPr>
        <w:ind w:left="806" w:hanging="360"/>
      </w:pPr>
      <w:rPr>
        <w:b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50633D39"/>
    <w:multiLevelType w:val="hybridMultilevel"/>
    <w:tmpl w:val="E3445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0533D"/>
    <w:multiLevelType w:val="hybridMultilevel"/>
    <w:tmpl w:val="04C8B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903CD3"/>
    <w:multiLevelType w:val="hybridMultilevel"/>
    <w:tmpl w:val="2D7A0664"/>
    <w:lvl w:ilvl="0" w:tplc="A2B0C55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FE52E3"/>
    <w:multiLevelType w:val="hybridMultilevel"/>
    <w:tmpl w:val="C7BE71BC"/>
    <w:lvl w:ilvl="0" w:tplc="AA6A3B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nsid w:val="6AC83F09"/>
    <w:multiLevelType w:val="hybridMultilevel"/>
    <w:tmpl w:val="8BA2579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28607B"/>
    <w:multiLevelType w:val="hybridMultilevel"/>
    <w:tmpl w:val="B9E28F7A"/>
    <w:lvl w:ilvl="0" w:tplc="A52059C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A826E3"/>
    <w:multiLevelType w:val="hybridMultilevel"/>
    <w:tmpl w:val="321827F0"/>
    <w:lvl w:ilvl="0" w:tplc="60446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FB58CA"/>
    <w:multiLevelType w:val="hybridMultilevel"/>
    <w:tmpl w:val="8216E338"/>
    <w:lvl w:ilvl="0" w:tplc="70DC0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BD4929"/>
    <w:multiLevelType w:val="hybridMultilevel"/>
    <w:tmpl w:val="55C249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F8315A4"/>
    <w:multiLevelType w:val="hybridMultilevel"/>
    <w:tmpl w:val="ECD8D3A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0"/>
  </w:num>
  <w:num w:numId="2">
    <w:abstractNumId w:val="24"/>
  </w:num>
  <w:num w:numId="3">
    <w:abstractNumId w:val="14"/>
  </w:num>
  <w:num w:numId="4">
    <w:abstractNumId w:val="7"/>
  </w:num>
  <w:num w:numId="5">
    <w:abstractNumId w:val="25"/>
  </w:num>
  <w:num w:numId="6">
    <w:abstractNumId w:val="1"/>
  </w:num>
  <w:num w:numId="7">
    <w:abstractNumId w:val="0"/>
  </w:num>
  <w:num w:numId="8">
    <w:abstractNumId w:val="20"/>
  </w:num>
  <w:num w:numId="9">
    <w:abstractNumId w:val="26"/>
  </w:num>
  <w:num w:numId="10">
    <w:abstractNumId w:val="32"/>
  </w:num>
  <w:num w:numId="11">
    <w:abstractNumId w:val="15"/>
  </w:num>
  <w:num w:numId="12">
    <w:abstractNumId w:val="33"/>
  </w:num>
  <w:num w:numId="13">
    <w:abstractNumId w:val="29"/>
  </w:num>
  <w:num w:numId="14">
    <w:abstractNumId w:val="11"/>
  </w:num>
  <w:num w:numId="15">
    <w:abstractNumId w:val="9"/>
  </w:num>
  <w:num w:numId="16">
    <w:abstractNumId w:val="16"/>
  </w:num>
  <w:num w:numId="17">
    <w:abstractNumId w:val="21"/>
  </w:num>
  <w:num w:numId="18">
    <w:abstractNumId w:val="6"/>
  </w:num>
  <w:num w:numId="19">
    <w:abstractNumId w:val="22"/>
  </w:num>
  <w:num w:numId="20">
    <w:abstractNumId w:val="8"/>
  </w:num>
  <w:num w:numId="21">
    <w:abstractNumId w:val="30"/>
  </w:num>
  <w:num w:numId="22">
    <w:abstractNumId w:val="31"/>
  </w:num>
  <w:num w:numId="23">
    <w:abstractNumId w:val="27"/>
  </w:num>
  <w:num w:numId="24">
    <w:abstractNumId w:val="18"/>
  </w:num>
  <w:num w:numId="25">
    <w:abstractNumId w:val="13"/>
  </w:num>
  <w:num w:numId="26">
    <w:abstractNumId w:val="28"/>
  </w:num>
  <w:num w:numId="27">
    <w:abstractNumId w:val="2"/>
  </w:num>
  <w:num w:numId="28">
    <w:abstractNumId w:val="5"/>
  </w:num>
  <w:num w:numId="29">
    <w:abstractNumId w:val="3"/>
  </w:num>
  <w:num w:numId="30">
    <w:abstractNumId w:val="17"/>
  </w:num>
  <w:num w:numId="31">
    <w:abstractNumId w:val="12"/>
  </w:num>
  <w:num w:numId="32">
    <w:abstractNumId w:val="23"/>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C9"/>
    <w:rsid w:val="000134C3"/>
    <w:rsid w:val="000214B4"/>
    <w:rsid w:val="0002480E"/>
    <w:rsid w:val="00030579"/>
    <w:rsid w:val="00046816"/>
    <w:rsid w:val="00051540"/>
    <w:rsid w:val="00060D49"/>
    <w:rsid w:val="0008230F"/>
    <w:rsid w:val="000841ED"/>
    <w:rsid w:val="00087005"/>
    <w:rsid w:val="00087218"/>
    <w:rsid w:val="000930ED"/>
    <w:rsid w:val="00093960"/>
    <w:rsid w:val="00096996"/>
    <w:rsid w:val="00096B48"/>
    <w:rsid w:val="0009732B"/>
    <w:rsid w:val="00097C25"/>
    <w:rsid w:val="000A0C61"/>
    <w:rsid w:val="000A1DF9"/>
    <w:rsid w:val="000A3C83"/>
    <w:rsid w:val="000C0FAF"/>
    <w:rsid w:val="000D1004"/>
    <w:rsid w:val="000D3CE8"/>
    <w:rsid w:val="000D5FE8"/>
    <w:rsid w:val="000E3B5B"/>
    <w:rsid w:val="000E71C9"/>
    <w:rsid w:val="000E7AB2"/>
    <w:rsid w:val="000F122C"/>
    <w:rsid w:val="000F22A6"/>
    <w:rsid w:val="000F5EDC"/>
    <w:rsid w:val="000F7558"/>
    <w:rsid w:val="00101FEC"/>
    <w:rsid w:val="00107750"/>
    <w:rsid w:val="00116E9D"/>
    <w:rsid w:val="00120A84"/>
    <w:rsid w:val="00123689"/>
    <w:rsid w:val="001239BA"/>
    <w:rsid w:val="00124A17"/>
    <w:rsid w:val="0014003A"/>
    <w:rsid w:val="00145CE5"/>
    <w:rsid w:val="00145EDE"/>
    <w:rsid w:val="001468ED"/>
    <w:rsid w:val="00152206"/>
    <w:rsid w:val="00152B92"/>
    <w:rsid w:val="00163E08"/>
    <w:rsid w:val="00166F74"/>
    <w:rsid w:val="00173740"/>
    <w:rsid w:val="001740F1"/>
    <w:rsid w:val="001767F4"/>
    <w:rsid w:val="0018237D"/>
    <w:rsid w:val="00191129"/>
    <w:rsid w:val="00194680"/>
    <w:rsid w:val="001A4DC5"/>
    <w:rsid w:val="001A4E60"/>
    <w:rsid w:val="001B70D3"/>
    <w:rsid w:val="001D5877"/>
    <w:rsid w:val="001F17DB"/>
    <w:rsid w:val="001F34A0"/>
    <w:rsid w:val="00200BA8"/>
    <w:rsid w:val="0021662E"/>
    <w:rsid w:val="00217FDF"/>
    <w:rsid w:val="00225371"/>
    <w:rsid w:val="00225AFB"/>
    <w:rsid w:val="00227744"/>
    <w:rsid w:val="00254549"/>
    <w:rsid w:val="0025548B"/>
    <w:rsid w:val="00257F6B"/>
    <w:rsid w:val="002676AF"/>
    <w:rsid w:val="002717EC"/>
    <w:rsid w:val="00272F08"/>
    <w:rsid w:val="00280615"/>
    <w:rsid w:val="00280EC4"/>
    <w:rsid w:val="00292707"/>
    <w:rsid w:val="00295802"/>
    <w:rsid w:val="002961CD"/>
    <w:rsid w:val="002A70E2"/>
    <w:rsid w:val="002C50C0"/>
    <w:rsid w:val="002C69D5"/>
    <w:rsid w:val="002D0F8D"/>
    <w:rsid w:val="002D644E"/>
    <w:rsid w:val="002E24BF"/>
    <w:rsid w:val="002E59E8"/>
    <w:rsid w:val="002E5F9E"/>
    <w:rsid w:val="00313379"/>
    <w:rsid w:val="00325576"/>
    <w:rsid w:val="00330A4D"/>
    <w:rsid w:val="003321FF"/>
    <w:rsid w:val="00332333"/>
    <w:rsid w:val="0037146D"/>
    <w:rsid w:val="00377523"/>
    <w:rsid w:val="00381542"/>
    <w:rsid w:val="003879BF"/>
    <w:rsid w:val="003A39CF"/>
    <w:rsid w:val="003C176C"/>
    <w:rsid w:val="003C2C50"/>
    <w:rsid w:val="003D0316"/>
    <w:rsid w:val="003D234A"/>
    <w:rsid w:val="003D5476"/>
    <w:rsid w:val="003E237F"/>
    <w:rsid w:val="003F21D4"/>
    <w:rsid w:val="003F380B"/>
    <w:rsid w:val="0040043D"/>
    <w:rsid w:val="00405857"/>
    <w:rsid w:val="0042280B"/>
    <w:rsid w:val="0042514F"/>
    <w:rsid w:val="00427DCE"/>
    <w:rsid w:val="0043704C"/>
    <w:rsid w:val="00437149"/>
    <w:rsid w:val="004427C7"/>
    <w:rsid w:val="00447F18"/>
    <w:rsid w:val="00453CA1"/>
    <w:rsid w:val="00467644"/>
    <w:rsid w:val="00470C60"/>
    <w:rsid w:val="00482EF0"/>
    <w:rsid w:val="00487AF2"/>
    <w:rsid w:val="004D4F02"/>
    <w:rsid w:val="004D5EB8"/>
    <w:rsid w:val="004F2D72"/>
    <w:rsid w:val="004F3B7C"/>
    <w:rsid w:val="004F4BC9"/>
    <w:rsid w:val="00520EF8"/>
    <w:rsid w:val="00525024"/>
    <w:rsid w:val="005310D4"/>
    <w:rsid w:val="0053379E"/>
    <w:rsid w:val="005441FF"/>
    <w:rsid w:val="00546004"/>
    <w:rsid w:val="00547E0A"/>
    <w:rsid w:val="00553D80"/>
    <w:rsid w:val="00554756"/>
    <w:rsid w:val="005554AF"/>
    <w:rsid w:val="0057194F"/>
    <w:rsid w:val="00575478"/>
    <w:rsid w:val="00581E5A"/>
    <w:rsid w:val="005A344C"/>
    <w:rsid w:val="005B6CC4"/>
    <w:rsid w:val="005C75E4"/>
    <w:rsid w:val="005D2325"/>
    <w:rsid w:val="005D4634"/>
    <w:rsid w:val="005E14E2"/>
    <w:rsid w:val="005E27DC"/>
    <w:rsid w:val="005F0CED"/>
    <w:rsid w:val="005F4F9B"/>
    <w:rsid w:val="0060680D"/>
    <w:rsid w:val="00611259"/>
    <w:rsid w:val="006205DB"/>
    <w:rsid w:val="0062132D"/>
    <w:rsid w:val="00627CD9"/>
    <w:rsid w:val="0064638E"/>
    <w:rsid w:val="006558B4"/>
    <w:rsid w:val="00657018"/>
    <w:rsid w:val="006636D6"/>
    <w:rsid w:val="0067006C"/>
    <w:rsid w:val="00670314"/>
    <w:rsid w:val="00681464"/>
    <w:rsid w:val="00683A12"/>
    <w:rsid w:val="006C304C"/>
    <w:rsid w:val="006D23B3"/>
    <w:rsid w:val="006E191B"/>
    <w:rsid w:val="006E6FD7"/>
    <w:rsid w:val="006F285E"/>
    <w:rsid w:val="006F3EE5"/>
    <w:rsid w:val="007110C8"/>
    <w:rsid w:val="00711CE6"/>
    <w:rsid w:val="00735467"/>
    <w:rsid w:val="0074103D"/>
    <w:rsid w:val="00745A61"/>
    <w:rsid w:val="007540B9"/>
    <w:rsid w:val="007575A7"/>
    <w:rsid w:val="00770584"/>
    <w:rsid w:val="007754F6"/>
    <w:rsid w:val="007817D1"/>
    <w:rsid w:val="007840ED"/>
    <w:rsid w:val="00790FA7"/>
    <w:rsid w:val="00791255"/>
    <w:rsid w:val="007A3A99"/>
    <w:rsid w:val="007A49B9"/>
    <w:rsid w:val="007A52A4"/>
    <w:rsid w:val="007B2C74"/>
    <w:rsid w:val="007D24A8"/>
    <w:rsid w:val="007D4649"/>
    <w:rsid w:val="007E2B32"/>
    <w:rsid w:val="007F1693"/>
    <w:rsid w:val="007F2EC4"/>
    <w:rsid w:val="007F7A10"/>
    <w:rsid w:val="00805032"/>
    <w:rsid w:val="008151AF"/>
    <w:rsid w:val="008162C3"/>
    <w:rsid w:val="008225CC"/>
    <w:rsid w:val="00823C6C"/>
    <w:rsid w:val="0082428F"/>
    <w:rsid w:val="0082743F"/>
    <w:rsid w:val="008413F1"/>
    <w:rsid w:val="008424BF"/>
    <w:rsid w:val="00846138"/>
    <w:rsid w:val="00846301"/>
    <w:rsid w:val="008644B1"/>
    <w:rsid w:val="00885978"/>
    <w:rsid w:val="00887AF5"/>
    <w:rsid w:val="00893EAF"/>
    <w:rsid w:val="008A0663"/>
    <w:rsid w:val="008C37B4"/>
    <w:rsid w:val="008C3AC0"/>
    <w:rsid w:val="008E3B8C"/>
    <w:rsid w:val="008E5890"/>
    <w:rsid w:val="008E7FC1"/>
    <w:rsid w:val="008F24AC"/>
    <w:rsid w:val="0090726A"/>
    <w:rsid w:val="00914E92"/>
    <w:rsid w:val="009151D1"/>
    <w:rsid w:val="0093030D"/>
    <w:rsid w:val="00935EAB"/>
    <w:rsid w:val="00941EE3"/>
    <w:rsid w:val="0096251B"/>
    <w:rsid w:val="0096333A"/>
    <w:rsid w:val="0096504B"/>
    <w:rsid w:val="009678C1"/>
    <w:rsid w:val="00975FA7"/>
    <w:rsid w:val="009924DF"/>
    <w:rsid w:val="009A08E3"/>
    <w:rsid w:val="009A693C"/>
    <w:rsid w:val="009D2A73"/>
    <w:rsid w:val="009D53CE"/>
    <w:rsid w:val="009F2CB9"/>
    <w:rsid w:val="009F4405"/>
    <w:rsid w:val="00A01DD2"/>
    <w:rsid w:val="00A04AD6"/>
    <w:rsid w:val="00A12749"/>
    <w:rsid w:val="00A13123"/>
    <w:rsid w:val="00A14C16"/>
    <w:rsid w:val="00A23879"/>
    <w:rsid w:val="00A24940"/>
    <w:rsid w:val="00A30031"/>
    <w:rsid w:val="00A331EE"/>
    <w:rsid w:val="00A40FC9"/>
    <w:rsid w:val="00A44698"/>
    <w:rsid w:val="00A45D3D"/>
    <w:rsid w:val="00A54881"/>
    <w:rsid w:val="00A63157"/>
    <w:rsid w:val="00A907F1"/>
    <w:rsid w:val="00A9572E"/>
    <w:rsid w:val="00A972FB"/>
    <w:rsid w:val="00AA0E73"/>
    <w:rsid w:val="00AA7FA4"/>
    <w:rsid w:val="00AB353E"/>
    <w:rsid w:val="00AB3EA5"/>
    <w:rsid w:val="00AB54D0"/>
    <w:rsid w:val="00AB66CA"/>
    <w:rsid w:val="00AB69E4"/>
    <w:rsid w:val="00AC6AD0"/>
    <w:rsid w:val="00AD4181"/>
    <w:rsid w:val="00B1429F"/>
    <w:rsid w:val="00B14FE1"/>
    <w:rsid w:val="00B15DB1"/>
    <w:rsid w:val="00B24CFA"/>
    <w:rsid w:val="00B30220"/>
    <w:rsid w:val="00B3072F"/>
    <w:rsid w:val="00B3754C"/>
    <w:rsid w:val="00B6091D"/>
    <w:rsid w:val="00B6764D"/>
    <w:rsid w:val="00B72E71"/>
    <w:rsid w:val="00B771B7"/>
    <w:rsid w:val="00B9659C"/>
    <w:rsid w:val="00BA7DB3"/>
    <w:rsid w:val="00BB20D7"/>
    <w:rsid w:val="00BB25DF"/>
    <w:rsid w:val="00BB578C"/>
    <w:rsid w:val="00BC057B"/>
    <w:rsid w:val="00BC7888"/>
    <w:rsid w:val="00BD3E53"/>
    <w:rsid w:val="00BE4802"/>
    <w:rsid w:val="00BF0290"/>
    <w:rsid w:val="00BF179D"/>
    <w:rsid w:val="00C01748"/>
    <w:rsid w:val="00C10007"/>
    <w:rsid w:val="00C3455F"/>
    <w:rsid w:val="00C46AB8"/>
    <w:rsid w:val="00C54FC1"/>
    <w:rsid w:val="00C6334F"/>
    <w:rsid w:val="00C67615"/>
    <w:rsid w:val="00C70CEC"/>
    <w:rsid w:val="00C7124C"/>
    <w:rsid w:val="00C8108A"/>
    <w:rsid w:val="00C87731"/>
    <w:rsid w:val="00CA0E3B"/>
    <w:rsid w:val="00CB1ADA"/>
    <w:rsid w:val="00CB7C70"/>
    <w:rsid w:val="00CC05EB"/>
    <w:rsid w:val="00CC4940"/>
    <w:rsid w:val="00CD556C"/>
    <w:rsid w:val="00CD73BD"/>
    <w:rsid w:val="00CF12B1"/>
    <w:rsid w:val="00CF5AAF"/>
    <w:rsid w:val="00D0110D"/>
    <w:rsid w:val="00D06DBF"/>
    <w:rsid w:val="00D128CD"/>
    <w:rsid w:val="00D134B6"/>
    <w:rsid w:val="00D24070"/>
    <w:rsid w:val="00D26DDE"/>
    <w:rsid w:val="00D279A1"/>
    <w:rsid w:val="00D33B8C"/>
    <w:rsid w:val="00D365A6"/>
    <w:rsid w:val="00D4000F"/>
    <w:rsid w:val="00D426F0"/>
    <w:rsid w:val="00D60BC1"/>
    <w:rsid w:val="00D66BF8"/>
    <w:rsid w:val="00D67256"/>
    <w:rsid w:val="00D677DC"/>
    <w:rsid w:val="00D71B86"/>
    <w:rsid w:val="00D747C5"/>
    <w:rsid w:val="00D81C41"/>
    <w:rsid w:val="00D84B4C"/>
    <w:rsid w:val="00D901A8"/>
    <w:rsid w:val="00D916F4"/>
    <w:rsid w:val="00D948E1"/>
    <w:rsid w:val="00DB34E0"/>
    <w:rsid w:val="00DB70A4"/>
    <w:rsid w:val="00DC5214"/>
    <w:rsid w:val="00DE2EE6"/>
    <w:rsid w:val="00DE73F7"/>
    <w:rsid w:val="00DF0E2D"/>
    <w:rsid w:val="00DF794D"/>
    <w:rsid w:val="00E15B4A"/>
    <w:rsid w:val="00E3482A"/>
    <w:rsid w:val="00E425E2"/>
    <w:rsid w:val="00E5028F"/>
    <w:rsid w:val="00E5333F"/>
    <w:rsid w:val="00E53EA0"/>
    <w:rsid w:val="00E70D43"/>
    <w:rsid w:val="00E7104A"/>
    <w:rsid w:val="00E71912"/>
    <w:rsid w:val="00E7663B"/>
    <w:rsid w:val="00E806E1"/>
    <w:rsid w:val="00E84CEF"/>
    <w:rsid w:val="00E871D9"/>
    <w:rsid w:val="00E90FE8"/>
    <w:rsid w:val="00E96976"/>
    <w:rsid w:val="00E96DC8"/>
    <w:rsid w:val="00EB2C57"/>
    <w:rsid w:val="00EE3EDE"/>
    <w:rsid w:val="00EE5378"/>
    <w:rsid w:val="00EF741B"/>
    <w:rsid w:val="00F03B28"/>
    <w:rsid w:val="00F103A2"/>
    <w:rsid w:val="00F1648D"/>
    <w:rsid w:val="00F24DFF"/>
    <w:rsid w:val="00F259F4"/>
    <w:rsid w:val="00F264BD"/>
    <w:rsid w:val="00F2659B"/>
    <w:rsid w:val="00F27A74"/>
    <w:rsid w:val="00F532C5"/>
    <w:rsid w:val="00F57BEF"/>
    <w:rsid w:val="00F67556"/>
    <w:rsid w:val="00F7565D"/>
    <w:rsid w:val="00F821C8"/>
    <w:rsid w:val="00FA440F"/>
    <w:rsid w:val="00FA722A"/>
    <w:rsid w:val="00FA78E1"/>
    <w:rsid w:val="00FB3767"/>
    <w:rsid w:val="00FC4DC3"/>
    <w:rsid w:val="00FE0808"/>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1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eastAsia="SimSun"/>
      <w:sz w:val="24"/>
      <w:szCs w:val="24"/>
    </w:rPr>
  </w:style>
  <w:style w:type="paragraph" w:styleId="Heading2">
    <w:name w:val="heading 2"/>
    <w:basedOn w:val="Normal"/>
    <w:link w:val="Heading2Char"/>
    <w:qFormat/>
    <w:rsid w:val="001A4E6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4E60"/>
    <w:rPr>
      <w:b/>
      <w:bCs/>
      <w:sz w:val="36"/>
      <w:szCs w:val="36"/>
    </w:rPr>
  </w:style>
  <w:style w:type="character" w:styleId="Hyperlink">
    <w:name w:val="Hyperlink"/>
    <w:uiPriority w:val="99"/>
    <w:rsid w:val="000E71C9"/>
    <w:rPr>
      <w:color w:val="0000FF"/>
      <w:u w:val="single"/>
    </w:rPr>
  </w:style>
  <w:style w:type="character" w:customStyle="1" w:styleId="SYSHYPERTEXT">
    <w:name w:val="SYS_HYPERTEXT"/>
    <w:rsid w:val="000E71C9"/>
    <w:rPr>
      <w:color w:val="0000FF"/>
      <w:u w:val="single"/>
    </w:rPr>
  </w:style>
  <w:style w:type="paragraph" w:styleId="BodyTextIndent">
    <w:name w:val="Body Text Indent"/>
    <w:basedOn w:val="Normal"/>
    <w:link w:val="BodyTextIndentChar"/>
    <w:rsid w:val="000E71C9"/>
    <w:pPr>
      <w:spacing w:after="120"/>
      <w:ind w:left="360"/>
    </w:pPr>
  </w:style>
  <w:style w:type="character" w:customStyle="1" w:styleId="BodyTextIndentChar">
    <w:name w:val="Body Text Indent Char"/>
    <w:link w:val="BodyTextIndent"/>
    <w:rsid w:val="000E71C9"/>
    <w:rPr>
      <w:rFonts w:eastAsia="SimSun"/>
      <w:sz w:val="24"/>
      <w:szCs w:val="24"/>
      <w:lang w:bidi="ar-SA"/>
    </w:rPr>
  </w:style>
  <w:style w:type="character" w:customStyle="1" w:styleId="Affix">
    <w:name w:val="Affix"/>
    <w:rsid w:val="000E71C9"/>
    <w:rPr>
      <w:rFonts w:ascii="Times New Roman" w:hAnsi="Times New Roman"/>
      <w:sz w:val="24"/>
      <w:szCs w:val="20"/>
    </w:rPr>
  </w:style>
  <w:style w:type="paragraph" w:customStyle="1" w:styleId="aFirstParagraphLR">
    <w:name w:val="aFirst Paragraph LR"/>
    <w:basedOn w:val="Normal"/>
    <w:link w:val="aFirstParagraphLRChar"/>
    <w:qFormat/>
    <w:rsid w:val="000E71C9"/>
    <w:pPr>
      <w:widowControl/>
      <w:spacing w:after="120"/>
    </w:pPr>
    <w:rPr>
      <w:rFonts w:ascii="Garamond" w:hAnsi="Garamond"/>
    </w:rPr>
  </w:style>
  <w:style w:type="character" w:customStyle="1" w:styleId="aFirstParagraphLRChar">
    <w:name w:val="aFirst Paragraph LR Char"/>
    <w:link w:val="aFirstParagraphLR"/>
    <w:rsid w:val="000E71C9"/>
    <w:rPr>
      <w:rFonts w:ascii="Garamond" w:eastAsia="SimSun" w:hAnsi="Garamond"/>
      <w:sz w:val="24"/>
      <w:szCs w:val="24"/>
      <w:lang w:bidi="ar-SA"/>
    </w:rPr>
  </w:style>
  <w:style w:type="paragraph" w:styleId="Header">
    <w:name w:val="header"/>
    <w:basedOn w:val="Normal"/>
    <w:link w:val="HeaderChar"/>
    <w:uiPriority w:val="99"/>
    <w:rsid w:val="00DE73F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DE73F7"/>
    <w:rPr>
      <w:rFonts w:eastAsia="SimSun"/>
      <w:sz w:val="24"/>
      <w:szCs w:val="24"/>
    </w:rPr>
  </w:style>
  <w:style w:type="paragraph" w:styleId="Footer">
    <w:name w:val="footer"/>
    <w:basedOn w:val="Normal"/>
    <w:link w:val="FooterChar"/>
    <w:uiPriority w:val="99"/>
    <w:rsid w:val="00DE73F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DE73F7"/>
    <w:rPr>
      <w:rFonts w:eastAsia="SimSun"/>
      <w:sz w:val="24"/>
      <w:szCs w:val="24"/>
    </w:rPr>
  </w:style>
  <w:style w:type="paragraph" w:styleId="EndnoteText">
    <w:name w:val="endnote text"/>
    <w:basedOn w:val="Normal"/>
    <w:link w:val="EndnoteTextChar"/>
    <w:uiPriority w:val="99"/>
    <w:unhideWhenUsed/>
    <w:rsid w:val="002554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25548B"/>
    <w:rPr>
      <w:rFonts w:asciiTheme="minorHAnsi" w:eastAsiaTheme="minorHAnsi" w:hAnsiTheme="minorHAnsi" w:cstheme="minorBidi"/>
    </w:rPr>
  </w:style>
  <w:style w:type="character" w:styleId="EndnoteReference">
    <w:name w:val="endnote reference"/>
    <w:basedOn w:val="DefaultParagraphFont"/>
    <w:uiPriority w:val="99"/>
    <w:unhideWhenUsed/>
    <w:rsid w:val="0025548B"/>
    <w:rPr>
      <w:vertAlign w:val="superscript"/>
    </w:rPr>
  </w:style>
  <w:style w:type="paragraph" w:styleId="FootnoteText">
    <w:name w:val="footnote text"/>
    <w:basedOn w:val="Normal"/>
    <w:link w:val="FootnoteTextChar"/>
    <w:uiPriority w:val="99"/>
    <w:unhideWhenUsed/>
    <w:rsid w:val="002554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5548B"/>
    <w:rPr>
      <w:rFonts w:asciiTheme="minorHAnsi" w:eastAsiaTheme="minorHAnsi" w:hAnsiTheme="minorHAnsi" w:cstheme="minorBidi"/>
    </w:rPr>
  </w:style>
  <w:style w:type="character" w:styleId="FootnoteReference">
    <w:name w:val="footnote reference"/>
    <w:basedOn w:val="DefaultParagraphFont"/>
    <w:uiPriority w:val="99"/>
    <w:unhideWhenUsed/>
    <w:rsid w:val="0025548B"/>
    <w:rPr>
      <w:vertAlign w:val="superscript"/>
    </w:rPr>
  </w:style>
  <w:style w:type="paragraph" w:styleId="ListParagraph">
    <w:name w:val="List Paragraph"/>
    <w:basedOn w:val="Normal"/>
    <w:uiPriority w:val="34"/>
    <w:qFormat/>
    <w:rsid w:val="002C69D5"/>
    <w:pPr>
      <w:ind w:left="720"/>
      <w:contextualSpacing/>
    </w:pPr>
  </w:style>
  <w:style w:type="paragraph" w:styleId="BalloonText">
    <w:name w:val="Balloon Text"/>
    <w:basedOn w:val="Normal"/>
    <w:link w:val="BalloonTextChar"/>
    <w:uiPriority w:val="99"/>
    <w:rsid w:val="00166F74"/>
    <w:rPr>
      <w:rFonts w:ascii="Tahoma" w:hAnsi="Tahoma" w:cs="Tahoma"/>
      <w:sz w:val="16"/>
      <w:szCs w:val="16"/>
    </w:rPr>
  </w:style>
  <w:style w:type="character" w:customStyle="1" w:styleId="BalloonTextChar">
    <w:name w:val="Balloon Text Char"/>
    <w:basedOn w:val="DefaultParagraphFont"/>
    <w:link w:val="BalloonText"/>
    <w:uiPriority w:val="99"/>
    <w:rsid w:val="00166F74"/>
    <w:rPr>
      <w:rFonts w:ascii="Tahoma" w:eastAsia="SimSun" w:hAnsi="Tahoma" w:cs="Tahoma"/>
      <w:sz w:val="16"/>
      <w:szCs w:val="16"/>
    </w:rPr>
  </w:style>
  <w:style w:type="character" w:customStyle="1" w:styleId="apple-style-span">
    <w:name w:val="apple-style-span"/>
    <w:basedOn w:val="DefaultParagraphFont"/>
    <w:rsid w:val="0002480E"/>
  </w:style>
  <w:style w:type="table" w:styleId="TableGrid">
    <w:name w:val="Table Grid"/>
    <w:basedOn w:val="TableNormal"/>
    <w:uiPriority w:val="59"/>
    <w:rsid w:val="003D234A"/>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821C8"/>
  </w:style>
  <w:style w:type="character" w:styleId="HTMLCite">
    <w:name w:val="HTML Cite"/>
    <w:basedOn w:val="DefaultParagraphFont"/>
    <w:rsid w:val="00F821C8"/>
    <w:rPr>
      <w:i/>
      <w:iCs/>
    </w:rPr>
  </w:style>
  <w:style w:type="paragraph" w:styleId="Title">
    <w:name w:val="Title"/>
    <w:basedOn w:val="Normal"/>
    <w:link w:val="TitleChar"/>
    <w:qFormat/>
    <w:rsid w:val="001A4E6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center"/>
    </w:pPr>
    <w:rPr>
      <w:rFonts w:eastAsia="Times New Roman"/>
      <w:b/>
      <w:bCs/>
    </w:rPr>
  </w:style>
  <w:style w:type="character" w:customStyle="1" w:styleId="TitleChar">
    <w:name w:val="Title Char"/>
    <w:basedOn w:val="DefaultParagraphFont"/>
    <w:link w:val="Title"/>
    <w:rsid w:val="001A4E60"/>
    <w:rPr>
      <w:b/>
      <w:bCs/>
      <w:sz w:val="24"/>
      <w:szCs w:val="24"/>
    </w:rPr>
  </w:style>
  <w:style w:type="character" w:styleId="PageNumber">
    <w:name w:val="page number"/>
    <w:basedOn w:val="DefaultParagraphFont"/>
    <w:rsid w:val="00935EAB"/>
  </w:style>
  <w:style w:type="character" w:styleId="CommentReference">
    <w:name w:val="annotation reference"/>
    <w:basedOn w:val="DefaultParagraphFont"/>
    <w:uiPriority w:val="99"/>
    <w:unhideWhenUsed/>
    <w:rsid w:val="00935EAB"/>
    <w:rPr>
      <w:sz w:val="16"/>
      <w:szCs w:val="16"/>
    </w:rPr>
  </w:style>
  <w:style w:type="paragraph" w:styleId="CommentText">
    <w:name w:val="annotation text"/>
    <w:basedOn w:val="Normal"/>
    <w:link w:val="CommentTextChar"/>
    <w:uiPriority w:val="99"/>
    <w:unhideWhenUsed/>
    <w:rsid w:val="00935EA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eastAsia="Times New Roman"/>
      <w:sz w:val="20"/>
      <w:szCs w:val="20"/>
    </w:rPr>
  </w:style>
  <w:style w:type="character" w:customStyle="1" w:styleId="CommentTextChar">
    <w:name w:val="Comment Text Char"/>
    <w:basedOn w:val="DefaultParagraphFont"/>
    <w:link w:val="CommentText"/>
    <w:uiPriority w:val="99"/>
    <w:rsid w:val="00935EAB"/>
  </w:style>
  <w:style w:type="paragraph" w:styleId="CommentSubject">
    <w:name w:val="annotation subject"/>
    <w:basedOn w:val="CommentText"/>
    <w:next w:val="CommentText"/>
    <w:link w:val="CommentSubjectChar"/>
    <w:uiPriority w:val="99"/>
    <w:unhideWhenUsed/>
    <w:rsid w:val="00AA0E73"/>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rsid w:val="00AA0E73"/>
    <w:rPr>
      <w:rFonts w:asciiTheme="minorHAnsi" w:eastAsiaTheme="minorEastAsia" w:hAnsiTheme="minorHAnsi" w:cstheme="minorBidi"/>
      <w:b/>
      <w:bCs/>
    </w:rPr>
  </w:style>
  <w:style w:type="paragraph" w:customStyle="1" w:styleId="CM17">
    <w:name w:val="CM17"/>
    <w:basedOn w:val="Normal"/>
    <w:next w:val="Normal"/>
    <w:uiPriority w:val="99"/>
    <w:rsid w:val="00AA0E7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Pr>
      <w:rFonts w:ascii="CM R 17" w:eastAsiaTheme="minorEastAsia" w:hAnsi="CM R 17" w:cstheme="minorBidi"/>
    </w:rPr>
  </w:style>
  <w:style w:type="character" w:styleId="Emphasis">
    <w:name w:val="Emphasis"/>
    <w:basedOn w:val="DefaultParagraphFont"/>
    <w:uiPriority w:val="20"/>
    <w:qFormat/>
    <w:rsid w:val="00AA0E73"/>
    <w:rPr>
      <w:i/>
      <w:iCs/>
    </w:rPr>
  </w:style>
  <w:style w:type="character" w:customStyle="1" w:styleId="cit-doi2">
    <w:name w:val="cit-doi2"/>
    <w:basedOn w:val="DefaultParagraphFont"/>
    <w:rsid w:val="00AA0E73"/>
  </w:style>
  <w:style w:type="character" w:customStyle="1" w:styleId="cit-sep2">
    <w:name w:val="cit-sep2"/>
    <w:basedOn w:val="DefaultParagraphFont"/>
    <w:rsid w:val="00AA0E73"/>
  </w:style>
  <w:style w:type="character" w:customStyle="1" w:styleId="st">
    <w:name w:val="st"/>
    <w:basedOn w:val="DefaultParagraphFont"/>
    <w:rsid w:val="00AA0E73"/>
  </w:style>
  <w:style w:type="table" w:styleId="LightShading">
    <w:name w:val="Light Shading"/>
    <w:basedOn w:val="TableNormal"/>
    <w:uiPriority w:val="60"/>
    <w:rsid w:val="00546004"/>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10775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B54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1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eastAsia="SimSun"/>
      <w:sz w:val="24"/>
      <w:szCs w:val="24"/>
    </w:rPr>
  </w:style>
  <w:style w:type="paragraph" w:styleId="Heading2">
    <w:name w:val="heading 2"/>
    <w:basedOn w:val="Normal"/>
    <w:link w:val="Heading2Char"/>
    <w:qFormat/>
    <w:rsid w:val="001A4E6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4E60"/>
    <w:rPr>
      <w:b/>
      <w:bCs/>
      <w:sz w:val="36"/>
      <w:szCs w:val="36"/>
    </w:rPr>
  </w:style>
  <w:style w:type="character" w:styleId="Hyperlink">
    <w:name w:val="Hyperlink"/>
    <w:uiPriority w:val="99"/>
    <w:rsid w:val="000E71C9"/>
    <w:rPr>
      <w:color w:val="0000FF"/>
      <w:u w:val="single"/>
    </w:rPr>
  </w:style>
  <w:style w:type="character" w:customStyle="1" w:styleId="SYSHYPERTEXT">
    <w:name w:val="SYS_HYPERTEXT"/>
    <w:rsid w:val="000E71C9"/>
    <w:rPr>
      <w:color w:val="0000FF"/>
      <w:u w:val="single"/>
    </w:rPr>
  </w:style>
  <w:style w:type="paragraph" w:styleId="BodyTextIndent">
    <w:name w:val="Body Text Indent"/>
    <w:basedOn w:val="Normal"/>
    <w:link w:val="BodyTextIndentChar"/>
    <w:rsid w:val="000E71C9"/>
    <w:pPr>
      <w:spacing w:after="120"/>
      <w:ind w:left="360"/>
    </w:pPr>
  </w:style>
  <w:style w:type="character" w:customStyle="1" w:styleId="BodyTextIndentChar">
    <w:name w:val="Body Text Indent Char"/>
    <w:link w:val="BodyTextIndent"/>
    <w:rsid w:val="000E71C9"/>
    <w:rPr>
      <w:rFonts w:eastAsia="SimSun"/>
      <w:sz w:val="24"/>
      <w:szCs w:val="24"/>
      <w:lang w:bidi="ar-SA"/>
    </w:rPr>
  </w:style>
  <w:style w:type="character" w:customStyle="1" w:styleId="Affix">
    <w:name w:val="Affix"/>
    <w:rsid w:val="000E71C9"/>
    <w:rPr>
      <w:rFonts w:ascii="Times New Roman" w:hAnsi="Times New Roman"/>
      <w:sz w:val="24"/>
      <w:szCs w:val="20"/>
    </w:rPr>
  </w:style>
  <w:style w:type="paragraph" w:customStyle="1" w:styleId="aFirstParagraphLR">
    <w:name w:val="aFirst Paragraph LR"/>
    <w:basedOn w:val="Normal"/>
    <w:link w:val="aFirstParagraphLRChar"/>
    <w:qFormat/>
    <w:rsid w:val="000E71C9"/>
    <w:pPr>
      <w:widowControl/>
      <w:spacing w:after="120"/>
    </w:pPr>
    <w:rPr>
      <w:rFonts w:ascii="Garamond" w:hAnsi="Garamond"/>
    </w:rPr>
  </w:style>
  <w:style w:type="character" w:customStyle="1" w:styleId="aFirstParagraphLRChar">
    <w:name w:val="aFirst Paragraph LR Char"/>
    <w:link w:val="aFirstParagraphLR"/>
    <w:rsid w:val="000E71C9"/>
    <w:rPr>
      <w:rFonts w:ascii="Garamond" w:eastAsia="SimSun" w:hAnsi="Garamond"/>
      <w:sz w:val="24"/>
      <w:szCs w:val="24"/>
      <w:lang w:bidi="ar-SA"/>
    </w:rPr>
  </w:style>
  <w:style w:type="paragraph" w:styleId="Header">
    <w:name w:val="header"/>
    <w:basedOn w:val="Normal"/>
    <w:link w:val="HeaderChar"/>
    <w:uiPriority w:val="99"/>
    <w:rsid w:val="00DE73F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DE73F7"/>
    <w:rPr>
      <w:rFonts w:eastAsia="SimSun"/>
      <w:sz w:val="24"/>
      <w:szCs w:val="24"/>
    </w:rPr>
  </w:style>
  <w:style w:type="paragraph" w:styleId="Footer">
    <w:name w:val="footer"/>
    <w:basedOn w:val="Normal"/>
    <w:link w:val="FooterChar"/>
    <w:uiPriority w:val="99"/>
    <w:rsid w:val="00DE73F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DE73F7"/>
    <w:rPr>
      <w:rFonts w:eastAsia="SimSun"/>
      <w:sz w:val="24"/>
      <w:szCs w:val="24"/>
    </w:rPr>
  </w:style>
  <w:style w:type="paragraph" w:styleId="EndnoteText">
    <w:name w:val="endnote text"/>
    <w:basedOn w:val="Normal"/>
    <w:link w:val="EndnoteTextChar"/>
    <w:uiPriority w:val="99"/>
    <w:unhideWhenUsed/>
    <w:rsid w:val="002554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25548B"/>
    <w:rPr>
      <w:rFonts w:asciiTheme="minorHAnsi" w:eastAsiaTheme="minorHAnsi" w:hAnsiTheme="minorHAnsi" w:cstheme="minorBidi"/>
    </w:rPr>
  </w:style>
  <w:style w:type="character" w:styleId="EndnoteReference">
    <w:name w:val="endnote reference"/>
    <w:basedOn w:val="DefaultParagraphFont"/>
    <w:uiPriority w:val="99"/>
    <w:unhideWhenUsed/>
    <w:rsid w:val="0025548B"/>
    <w:rPr>
      <w:vertAlign w:val="superscript"/>
    </w:rPr>
  </w:style>
  <w:style w:type="paragraph" w:styleId="FootnoteText">
    <w:name w:val="footnote text"/>
    <w:basedOn w:val="Normal"/>
    <w:link w:val="FootnoteTextChar"/>
    <w:uiPriority w:val="99"/>
    <w:unhideWhenUsed/>
    <w:rsid w:val="002554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5548B"/>
    <w:rPr>
      <w:rFonts w:asciiTheme="minorHAnsi" w:eastAsiaTheme="minorHAnsi" w:hAnsiTheme="minorHAnsi" w:cstheme="minorBidi"/>
    </w:rPr>
  </w:style>
  <w:style w:type="character" w:styleId="FootnoteReference">
    <w:name w:val="footnote reference"/>
    <w:basedOn w:val="DefaultParagraphFont"/>
    <w:uiPriority w:val="99"/>
    <w:unhideWhenUsed/>
    <w:rsid w:val="0025548B"/>
    <w:rPr>
      <w:vertAlign w:val="superscript"/>
    </w:rPr>
  </w:style>
  <w:style w:type="paragraph" w:styleId="ListParagraph">
    <w:name w:val="List Paragraph"/>
    <w:basedOn w:val="Normal"/>
    <w:uiPriority w:val="34"/>
    <w:qFormat/>
    <w:rsid w:val="002C69D5"/>
    <w:pPr>
      <w:ind w:left="720"/>
      <w:contextualSpacing/>
    </w:pPr>
  </w:style>
  <w:style w:type="paragraph" w:styleId="BalloonText">
    <w:name w:val="Balloon Text"/>
    <w:basedOn w:val="Normal"/>
    <w:link w:val="BalloonTextChar"/>
    <w:uiPriority w:val="99"/>
    <w:rsid w:val="00166F74"/>
    <w:rPr>
      <w:rFonts w:ascii="Tahoma" w:hAnsi="Tahoma" w:cs="Tahoma"/>
      <w:sz w:val="16"/>
      <w:szCs w:val="16"/>
    </w:rPr>
  </w:style>
  <w:style w:type="character" w:customStyle="1" w:styleId="BalloonTextChar">
    <w:name w:val="Balloon Text Char"/>
    <w:basedOn w:val="DefaultParagraphFont"/>
    <w:link w:val="BalloonText"/>
    <w:uiPriority w:val="99"/>
    <w:rsid w:val="00166F74"/>
    <w:rPr>
      <w:rFonts w:ascii="Tahoma" w:eastAsia="SimSun" w:hAnsi="Tahoma" w:cs="Tahoma"/>
      <w:sz w:val="16"/>
      <w:szCs w:val="16"/>
    </w:rPr>
  </w:style>
  <w:style w:type="character" w:customStyle="1" w:styleId="apple-style-span">
    <w:name w:val="apple-style-span"/>
    <w:basedOn w:val="DefaultParagraphFont"/>
    <w:rsid w:val="0002480E"/>
  </w:style>
  <w:style w:type="table" w:styleId="TableGrid">
    <w:name w:val="Table Grid"/>
    <w:basedOn w:val="TableNormal"/>
    <w:uiPriority w:val="59"/>
    <w:rsid w:val="003D234A"/>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821C8"/>
  </w:style>
  <w:style w:type="character" w:styleId="HTMLCite">
    <w:name w:val="HTML Cite"/>
    <w:basedOn w:val="DefaultParagraphFont"/>
    <w:rsid w:val="00F821C8"/>
    <w:rPr>
      <w:i/>
      <w:iCs/>
    </w:rPr>
  </w:style>
  <w:style w:type="paragraph" w:styleId="Title">
    <w:name w:val="Title"/>
    <w:basedOn w:val="Normal"/>
    <w:link w:val="TitleChar"/>
    <w:qFormat/>
    <w:rsid w:val="001A4E6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center"/>
    </w:pPr>
    <w:rPr>
      <w:rFonts w:eastAsia="Times New Roman"/>
      <w:b/>
      <w:bCs/>
    </w:rPr>
  </w:style>
  <w:style w:type="character" w:customStyle="1" w:styleId="TitleChar">
    <w:name w:val="Title Char"/>
    <w:basedOn w:val="DefaultParagraphFont"/>
    <w:link w:val="Title"/>
    <w:rsid w:val="001A4E60"/>
    <w:rPr>
      <w:b/>
      <w:bCs/>
      <w:sz w:val="24"/>
      <w:szCs w:val="24"/>
    </w:rPr>
  </w:style>
  <w:style w:type="character" w:styleId="PageNumber">
    <w:name w:val="page number"/>
    <w:basedOn w:val="DefaultParagraphFont"/>
    <w:rsid w:val="00935EAB"/>
  </w:style>
  <w:style w:type="character" w:styleId="CommentReference">
    <w:name w:val="annotation reference"/>
    <w:basedOn w:val="DefaultParagraphFont"/>
    <w:uiPriority w:val="99"/>
    <w:unhideWhenUsed/>
    <w:rsid w:val="00935EAB"/>
    <w:rPr>
      <w:sz w:val="16"/>
      <w:szCs w:val="16"/>
    </w:rPr>
  </w:style>
  <w:style w:type="paragraph" w:styleId="CommentText">
    <w:name w:val="annotation text"/>
    <w:basedOn w:val="Normal"/>
    <w:link w:val="CommentTextChar"/>
    <w:uiPriority w:val="99"/>
    <w:unhideWhenUsed/>
    <w:rsid w:val="00935EA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eastAsia="Times New Roman"/>
      <w:sz w:val="20"/>
      <w:szCs w:val="20"/>
    </w:rPr>
  </w:style>
  <w:style w:type="character" w:customStyle="1" w:styleId="CommentTextChar">
    <w:name w:val="Comment Text Char"/>
    <w:basedOn w:val="DefaultParagraphFont"/>
    <w:link w:val="CommentText"/>
    <w:uiPriority w:val="99"/>
    <w:rsid w:val="00935EAB"/>
  </w:style>
  <w:style w:type="paragraph" w:styleId="CommentSubject">
    <w:name w:val="annotation subject"/>
    <w:basedOn w:val="CommentText"/>
    <w:next w:val="CommentText"/>
    <w:link w:val="CommentSubjectChar"/>
    <w:uiPriority w:val="99"/>
    <w:unhideWhenUsed/>
    <w:rsid w:val="00AA0E73"/>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rsid w:val="00AA0E73"/>
    <w:rPr>
      <w:rFonts w:asciiTheme="minorHAnsi" w:eastAsiaTheme="minorEastAsia" w:hAnsiTheme="minorHAnsi" w:cstheme="minorBidi"/>
      <w:b/>
      <w:bCs/>
    </w:rPr>
  </w:style>
  <w:style w:type="paragraph" w:customStyle="1" w:styleId="CM17">
    <w:name w:val="CM17"/>
    <w:basedOn w:val="Normal"/>
    <w:next w:val="Normal"/>
    <w:uiPriority w:val="99"/>
    <w:rsid w:val="00AA0E7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Pr>
      <w:rFonts w:ascii="CM R 17" w:eastAsiaTheme="minorEastAsia" w:hAnsi="CM R 17" w:cstheme="minorBidi"/>
    </w:rPr>
  </w:style>
  <w:style w:type="character" w:styleId="Emphasis">
    <w:name w:val="Emphasis"/>
    <w:basedOn w:val="DefaultParagraphFont"/>
    <w:uiPriority w:val="20"/>
    <w:qFormat/>
    <w:rsid w:val="00AA0E73"/>
    <w:rPr>
      <w:i/>
      <w:iCs/>
    </w:rPr>
  </w:style>
  <w:style w:type="character" w:customStyle="1" w:styleId="cit-doi2">
    <w:name w:val="cit-doi2"/>
    <w:basedOn w:val="DefaultParagraphFont"/>
    <w:rsid w:val="00AA0E73"/>
  </w:style>
  <w:style w:type="character" w:customStyle="1" w:styleId="cit-sep2">
    <w:name w:val="cit-sep2"/>
    <w:basedOn w:val="DefaultParagraphFont"/>
    <w:rsid w:val="00AA0E73"/>
  </w:style>
  <w:style w:type="character" w:customStyle="1" w:styleId="st">
    <w:name w:val="st"/>
    <w:basedOn w:val="DefaultParagraphFont"/>
    <w:rsid w:val="00AA0E73"/>
  </w:style>
  <w:style w:type="table" w:styleId="LightShading">
    <w:name w:val="Light Shading"/>
    <w:basedOn w:val="TableNormal"/>
    <w:uiPriority w:val="60"/>
    <w:rsid w:val="00546004"/>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10775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B54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82903">
      <w:bodyDiv w:val="1"/>
      <w:marLeft w:val="0"/>
      <w:marRight w:val="0"/>
      <w:marTop w:val="0"/>
      <w:marBottom w:val="0"/>
      <w:divBdr>
        <w:top w:val="none" w:sz="0" w:space="0" w:color="auto"/>
        <w:left w:val="none" w:sz="0" w:space="0" w:color="auto"/>
        <w:bottom w:val="none" w:sz="0" w:space="0" w:color="auto"/>
        <w:right w:val="none" w:sz="0" w:space="0" w:color="auto"/>
      </w:divBdr>
    </w:div>
    <w:div w:id="8536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reonline.net/getvn.asp?v=18&amp;n=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2AE0-0D82-44B4-B363-A7458CEB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25190</CharactersWithSpaces>
  <SharedDoc>false</SharedDoc>
  <HLinks>
    <vt:vector size="12" baseType="variant">
      <vt:variant>
        <vt:i4>2752561</vt:i4>
      </vt:variant>
      <vt:variant>
        <vt:i4>6</vt:i4>
      </vt:variant>
      <vt:variant>
        <vt:i4>0</vt:i4>
      </vt:variant>
      <vt:variant>
        <vt:i4>5</vt:i4>
      </vt:variant>
      <vt:variant>
        <vt:lpwstr>http://www.ed.gov/policy/elsec/guid/growthmodelguidance.pdf</vt:lpwstr>
      </vt:variant>
      <vt:variant>
        <vt:lpwstr/>
      </vt:variant>
      <vt:variant>
        <vt:i4>6291571</vt:i4>
      </vt:variant>
      <vt:variant>
        <vt:i4>3</vt:i4>
      </vt:variant>
      <vt:variant>
        <vt:i4>0</vt:i4>
      </vt:variant>
      <vt:variant>
        <vt:i4>5</vt:i4>
      </vt:variant>
      <vt:variant>
        <vt:lpwstr>http://www2.ed.gov/news/pressreleases/2005/11/11182005.html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Information Technology</dc:creator>
  <cp:lastModifiedBy>Helenrose</cp:lastModifiedBy>
  <cp:revision>2</cp:revision>
  <cp:lastPrinted>2012-04-28T11:57:00Z</cp:lastPrinted>
  <dcterms:created xsi:type="dcterms:W3CDTF">2013-02-21T19:38:00Z</dcterms:created>
  <dcterms:modified xsi:type="dcterms:W3CDTF">2013-02-21T19:38:00Z</dcterms:modified>
</cp:coreProperties>
</file>