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92BC9" w14:textId="2C6ABC7C" w:rsidR="00215873" w:rsidRPr="00EA5C64" w:rsidRDefault="00215873" w:rsidP="00EA5C64">
      <w:pPr>
        <w:tabs>
          <w:tab w:val="left" w:pos="1607"/>
        </w:tabs>
        <w:jc w:val="center"/>
        <w:rPr>
          <w:b/>
          <w:bCs/>
        </w:rPr>
      </w:pPr>
      <w:r w:rsidRPr="00EA5C64">
        <w:rPr>
          <w:b/>
          <w:bCs/>
        </w:rPr>
        <w:t xml:space="preserve">How to complete </w:t>
      </w:r>
      <w:r w:rsidR="00985152">
        <w:rPr>
          <w:b/>
          <w:bCs/>
        </w:rPr>
        <w:t xml:space="preserve">the </w:t>
      </w:r>
      <w:r w:rsidRPr="00EA5C64">
        <w:rPr>
          <w:b/>
          <w:bCs/>
        </w:rPr>
        <w:t xml:space="preserve">Cost Sharing section of </w:t>
      </w:r>
      <w:r w:rsidR="00985152">
        <w:rPr>
          <w:b/>
          <w:bCs/>
        </w:rPr>
        <w:t xml:space="preserve">the </w:t>
      </w:r>
      <w:r w:rsidRPr="00EA5C64">
        <w:rPr>
          <w:b/>
          <w:bCs/>
        </w:rPr>
        <w:t>IPF</w:t>
      </w:r>
    </w:p>
    <w:p w14:paraId="29A738F5" w14:textId="0D70B627" w:rsidR="00215873" w:rsidRDefault="00215873" w:rsidP="00215873">
      <w:pPr>
        <w:tabs>
          <w:tab w:val="left" w:pos="1607"/>
        </w:tabs>
      </w:pPr>
    </w:p>
    <w:p w14:paraId="5E060DA1" w14:textId="7FE1013C" w:rsidR="003518F2" w:rsidRPr="00985152" w:rsidRDefault="00AE023E" w:rsidP="00215873">
      <w:pPr>
        <w:tabs>
          <w:tab w:val="left" w:pos="1607"/>
        </w:tabs>
        <w:rPr>
          <w:sz w:val="22"/>
          <w:szCs w:val="22"/>
        </w:rPr>
      </w:pPr>
      <w:r w:rsidRPr="003116E8">
        <w:rPr>
          <w:b/>
          <w:bCs/>
          <w:sz w:val="22"/>
          <w:szCs w:val="22"/>
        </w:rPr>
        <w:t>STEP ONE</w:t>
      </w:r>
      <w:r>
        <w:rPr>
          <w:sz w:val="22"/>
          <w:szCs w:val="22"/>
        </w:rPr>
        <w:t xml:space="preserve">: </w:t>
      </w:r>
      <w:r w:rsidR="003518F2" w:rsidRPr="00985152">
        <w:rPr>
          <w:sz w:val="22"/>
          <w:szCs w:val="22"/>
        </w:rPr>
        <w:t>If cost-share</w:t>
      </w:r>
      <w:r>
        <w:rPr>
          <w:sz w:val="22"/>
          <w:szCs w:val="22"/>
        </w:rPr>
        <w:t>/matching</w:t>
      </w:r>
      <w:r w:rsidR="003518F2" w:rsidRPr="00985152">
        <w:rPr>
          <w:sz w:val="22"/>
          <w:szCs w:val="22"/>
        </w:rPr>
        <w:t xml:space="preserve"> is required by the Sponsor, select Yes.  </w:t>
      </w:r>
    </w:p>
    <w:p w14:paraId="5E1A02D6" w14:textId="77777777" w:rsidR="00AE023E" w:rsidRPr="00985152" w:rsidRDefault="00AE023E" w:rsidP="00AE023E">
      <w:pPr>
        <w:tabs>
          <w:tab w:val="left" w:pos="1607"/>
        </w:tabs>
        <w:rPr>
          <w:sz w:val="22"/>
          <w:szCs w:val="22"/>
        </w:rPr>
      </w:pPr>
    </w:p>
    <w:p w14:paraId="3D3F4C0C" w14:textId="77777777" w:rsidR="003116E8" w:rsidRDefault="003518F2">
      <w:pPr>
        <w:pStyle w:val="ListParagraph"/>
        <w:numPr>
          <w:ilvl w:val="0"/>
          <w:numId w:val="3"/>
        </w:numPr>
        <w:tabs>
          <w:tab w:val="left" w:pos="1607"/>
        </w:tabs>
        <w:rPr>
          <w:sz w:val="22"/>
          <w:szCs w:val="22"/>
        </w:rPr>
      </w:pPr>
      <w:r w:rsidRPr="00E15D01">
        <w:rPr>
          <w:sz w:val="22"/>
          <w:szCs w:val="22"/>
        </w:rPr>
        <w:t>If a non-MSU organization is cost-sharing, select “Add Organization” under “Third Party Cost Sharing.”  Search for the organization.  If not listed, select “Not Found.”</w:t>
      </w:r>
      <w:r w:rsidR="005156CE" w:rsidRPr="00E15D01">
        <w:rPr>
          <w:sz w:val="22"/>
          <w:szCs w:val="22"/>
        </w:rPr>
        <w:t xml:space="preserve">  Select the appropriate Commitment and Match Types.</w:t>
      </w:r>
    </w:p>
    <w:p w14:paraId="4055402D" w14:textId="77777777" w:rsidR="003116E8" w:rsidRPr="00985152" w:rsidRDefault="003116E8" w:rsidP="003116E8">
      <w:pPr>
        <w:tabs>
          <w:tab w:val="left" w:pos="1607"/>
        </w:tabs>
        <w:rPr>
          <w:sz w:val="22"/>
          <w:szCs w:val="22"/>
        </w:rPr>
      </w:pPr>
    </w:p>
    <w:p w14:paraId="2976E1E8" w14:textId="6FBB015B" w:rsidR="00114268" w:rsidRPr="00E15D01" w:rsidRDefault="003116E8" w:rsidP="003116E8">
      <w:pPr>
        <w:pStyle w:val="ListParagraph"/>
        <w:numPr>
          <w:ilvl w:val="0"/>
          <w:numId w:val="3"/>
        </w:numPr>
        <w:tabs>
          <w:tab w:val="left" w:pos="1607"/>
        </w:tabs>
        <w:rPr>
          <w:sz w:val="22"/>
          <w:szCs w:val="22"/>
        </w:rPr>
      </w:pPr>
      <w:r w:rsidRPr="00E15D01">
        <w:rPr>
          <w:sz w:val="22"/>
          <w:szCs w:val="22"/>
        </w:rPr>
        <w:t>If Units/Departments within MSU are matching funds, select “Add Unit” under “Internal Cost Sharing</w:t>
      </w:r>
      <w:r>
        <w:rPr>
          <w:sz w:val="22"/>
          <w:szCs w:val="22"/>
        </w:rPr>
        <w:t>.</w:t>
      </w:r>
      <w:r w:rsidRPr="00E15D01">
        <w:rPr>
          <w:sz w:val="22"/>
          <w:szCs w:val="22"/>
        </w:rPr>
        <w:t xml:space="preserve">” </w:t>
      </w:r>
    </w:p>
    <w:p w14:paraId="71F246F5" w14:textId="769913F8" w:rsidR="003518F2" w:rsidRPr="00985152" w:rsidRDefault="003518F2" w:rsidP="00215873">
      <w:pPr>
        <w:tabs>
          <w:tab w:val="left" w:pos="1607"/>
        </w:tabs>
        <w:rPr>
          <w:sz w:val="22"/>
          <w:szCs w:val="22"/>
        </w:rPr>
      </w:pPr>
    </w:p>
    <w:p w14:paraId="3A4A4837" w14:textId="5533C612" w:rsidR="003518F2" w:rsidRPr="00985152" w:rsidRDefault="00AE023E" w:rsidP="003518F2">
      <w:pPr>
        <w:tabs>
          <w:tab w:val="left" w:pos="1607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STEP </w:t>
      </w:r>
      <w:r w:rsidR="003116E8">
        <w:rPr>
          <w:b/>
          <w:bCs/>
          <w:sz w:val="22"/>
          <w:szCs w:val="22"/>
        </w:rPr>
        <w:t>TWO</w:t>
      </w:r>
      <w:r>
        <w:rPr>
          <w:b/>
          <w:bCs/>
          <w:sz w:val="22"/>
          <w:szCs w:val="22"/>
        </w:rPr>
        <w:t xml:space="preserve">: </w:t>
      </w:r>
      <w:r w:rsidR="003518F2" w:rsidRPr="00985152">
        <w:rPr>
          <w:b/>
          <w:bCs/>
          <w:sz w:val="22"/>
          <w:szCs w:val="22"/>
        </w:rPr>
        <w:t>ACCOUNT</w:t>
      </w:r>
    </w:p>
    <w:p w14:paraId="199F72EB" w14:textId="77777777" w:rsidR="003116E8" w:rsidRDefault="003116E8" w:rsidP="003518F2">
      <w:pPr>
        <w:tabs>
          <w:tab w:val="left" w:pos="1607"/>
        </w:tabs>
        <w:rPr>
          <w:sz w:val="22"/>
          <w:szCs w:val="22"/>
        </w:rPr>
      </w:pPr>
    </w:p>
    <w:p w14:paraId="16AD8427" w14:textId="35DC877D" w:rsidR="003518F2" w:rsidRPr="00985152" w:rsidRDefault="003518F2" w:rsidP="003518F2">
      <w:pPr>
        <w:tabs>
          <w:tab w:val="left" w:pos="1607"/>
        </w:tabs>
        <w:rPr>
          <w:sz w:val="22"/>
          <w:szCs w:val="22"/>
        </w:rPr>
      </w:pPr>
      <w:r w:rsidRPr="00985152">
        <w:rPr>
          <w:sz w:val="22"/>
          <w:szCs w:val="22"/>
        </w:rPr>
        <w:t>We recommend starting with “Account,” as this may determine the corresponding Unit</w:t>
      </w:r>
      <w:r w:rsidR="00AE023E">
        <w:rPr>
          <w:sz w:val="22"/>
          <w:szCs w:val="22"/>
        </w:rPr>
        <w:t xml:space="preserve"> that is committing to the cost-share</w:t>
      </w:r>
      <w:r w:rsidR="00C63844" w:rsidRPr="00985152">
        <w:rPr>
          <w:sz w:val="22"/>
          <w:szCs w:val="22"/>
        </w:rPr>
        <w:t xml:space="preserve">.  </w:t>
      </w:r>
      <w:r w:rsidR="00AE023E">
        <w:rPr>
          <w:sz w:val="22"/>
          <w:szCs w:val="22"/>
        </w:rPr>
        <w:t>Type</w:t>
      </w:r>
      <w:r w:rsidR="00302EA8">
        <w:rPr>
          <w:sz w:val="22"/>
          <w:szCs w:val="22"/>
        </w:rPr>
        <w:t>, or cut and paste</w:t>
      </w:r>
      <w:r w:rsidR="00AE023E">
        <w:rPr>
          <w:sz w:val="22"/>
          <w:szCs w:val="22"/>
        </w:rPr>
        <w:t xml:space="preserve"> in</w:t>
      </w:r>
      <w:r w:rsidR="00AE023E" w:rsidRPr="00985152">
        <w:rPr>
          <w:sz w:val="22"/>
          <w:szCs w:val="22"/>
        </w:rPr>
        <w:t xml:space="preserve"> </w:t>
      </w:r>
      <w:r w:rsidRPr="00985152">
        <w:rPr>
          <w:sz w:val="22"/>
          <w:szCs w:val="22"/>
          <w:u w:val="single"/>
        </w:rPr>
        <w:t>one</w:t>
      </w:r>
      <w:r w:rsidRPr="00985152">
        <w:rPr>
          <w:sz w:val="22"/>
          <w:szCs w:val="22"/>
        </w:rPr>
        <w:t xml:space="preserve"> of the following options for Account</w:t>
      </w:r>
      <w:r w:rsidR="00985152" w:rsidRPr="00985152">
        <w:rPr>
          <w:sz w:val="22"/>
          <w:szCs w:val="22"/>
        </w:rPr>
        <w:t>:</w:t>
      </w:r>
      <w:r w:rsidR="00C63844" w:rsidRPr="00985152">
        <w:rPr>
          <w:sz w:val="22"/>
          <w:szCs w:val="22"/>
        </w:rPr>
        <w:t xml:space="preserve"> </w:t>
      </w:r>
    </w:p>
    <w:p w14:paraId="4CE9D0C0" w14:textId="07BA2D27" w:rsidR="00215873" w:rsidRPr="00985152" w:rsidRDefault="00215873" w:rsidP="00985152">
      <w:pPr>
        <w:tabs>
          <w:tab w:val="left" w:pos="1607"/>
        </w:tabs>
        <w:jc w:val="center"/>
        <w:rPr>
          <w:sz w:val="22"/>
          <w:szCs w:val="22"/>
        </w:rPr>
      </w:pPr>
      <w:r w:rsidRPr="00985152">
        <w:rPr>
          <w:sz w:val="22"/>
          <w:szCs w:val="22"/>
        </w:rPr>
        <w:t>Salary, Wages &amp; Fringe</w:t>
      </w:r>
    </w:p>
    <w:p w14:paraId="7C86346B" w14:textId="6B70D0E6" w:rsidR="00215873" w:rsidRPr="00985152" w:rsidRDefault="00215873" w:rsidP="00985152">
      <w:pPr>
        <w:tabs>
          <w:tab w:val="left" w:pos="1607"/>
        </w:tabs>
        <w:jc w:val="center"/>
        <w:rPr>
          <w:sz w:val="22"/>
          <w:szCs w:val="22"/>
        </w:rPr>
      </w:pPr>
      <w:r w:rsidRPr="00985152">
        <w:rPr>
          <w:sz w:val="22"/>
          <w:szCs w:val="22"/>
        </w:rPr>
        <w:t>Graduate Assistantship</w:t>
      </w:r>
    </w:p>
    <w:p w14:paraId="0CBA7564" w14:textId="721A8314" w:rsidR="00215873" w:rsidRPr="00985152" w:rsidRDefault="00215873" w:rsidP="00985152">
      <w:pPr>
        <w:tabs>
          <w:tab w:val="left" w:pos="1607"/>
        </w:tabs>
        <w:jc w:val="center"/>
        <w:rPr>
          <w:sz w:val="22"/>
          <w:szCs w:val="22"/>
        </w:rPr>
      </w:pPr>
      <w:r w:rsidRPr="00985152">
        <w:rPr>
          <w:sz w:val="22"/>
          <w:szCs w:val="22"/>
        </w:rPr>
        <w:t>Travel</w:t>
      </w:r>
    </w:p>
    <w:p w14:paraId="7E239DE2" w14:textId="093FD46A" w:rsidR="00215873" w:rsidRPr="00985152" w:rsidRDefault="00215873" w:rsidP="00985152">
      <w:pPr>
        <w:tabs>
          <w:tab w:val="left" w:pos="1607"/>
        </w:tabs>
        <w:jc w:val="center"/>
        <w:rPr>
          <w:sz w:val="22"/>
          <w:szCs w:val="22"/>
        </w:rPr>
      </w:pPr>
      <w:r w:rsidRPr="00985152">
        <w:rPr>
          <w:sz w:val="22"/>
          <w:szCs w:val="22"/>
        </w:rPr>
        <w:t>Materials</w:t>
      </w:r>
    </w:p>
    <w:p w14:paraId="6633855E" w14:textId="790CCBAC" w:rsidR="00215873" w:rsidRPr="00985152" w:rsidRDefault="00215873" w:rsidP="00985152">
      <w:pPr>
        <w:tabs>
          <w:tab w:val="left" w:pos="1607"/>
        </w:tabs>
        <w:jc w:val="center"/>
        <w:rPr>
          <w:sz w:val="22"/>
          <w:szCs w:val="22"/>
        </w:rPr>
      </w:pPr>
      <w:r w:rsidRPr="00985152">
        <w:rPr>
          <w:sz w:val="22"/>
          <w:szCs w:val="22"/>
        </w:rPr>
        <w:t>Other Direct Cost</w:t>
      </w:r>
    </w:p>
    <w:p w14:paraId="743EF627" w14:textId="3A53357A" w:rsidR="00C63844" w:rsidRDefault="00215873" w:rsidP="00985152">
      <w:pPr>
        <w:tabs>
          <w:tab w:val="left" w:pos="1607"/>
        </w:tabs>
        <w:jc w:val="center"/>
        <w:rPr>
          <w:sz w:val="22"/>
          <w:szCs w:val="22"/>
        </w:rPr>
      </w:pPr>
      <w:r w:rsidRPr="00985152">
        <w:rPr>
          <w:sz w:val="22"/>
          <w:szCs w:val="22"/>
        </w:rPr>
        <w:t>Indirect Costs</w:t>
      </w:r>
    </w:p>
    <w:p w14:paraId="2537517A" w14:textId="77777777" w:rsidR="00985152" w:rsidRPr="00985152" w:rsidRDefault="00985152" w:rsidP="00985152">
      <w:pPr>
        <w:tabs>
          <w:tab w:val="left" w:pos="1607"/>
        </w:tabs>
        <w:jc w:val="center"/>
        <w:rPr>
          <w:sz w:val="22"/>
          <w:szCs w:val="22"/>
        </w:rPr>
      </w:pPr>
    </w:p>
    <w:p w14:paraId="066FDF17" w14:textId="77C0D174" w:rsidR="00C63844" w:rsidRPr="00985152" w:rsidRDefault="00C63844" w:rsidP="00215873">
      <w:pPr>
        <w:tabs>
          <w:tab w:val="left" w:pos="1607"/>
        </w:tabs>
        <w:rPr>
          <w:sz w:val="22"/>
          <w:szCs w:val="22"/>
        </w:rPr>
      </w:pPr>
      <w:r w:rsidRPr="00985152">
        <w:rPr>
          <w:sz w:val="22"/>
          <w:szCs w:val="22"/>
        </w:rPr>
        <w:t>(NOTE: If cost-sharing</w:t>
      </w:r>
      <w:r w:rsidR="00AE023E">
        <w:rPr>
          <w:sz w:val="22"/>
          <w:szCs w:val="22"/>
        </w:rPr>
        <w:t xml:space="preserve"> across</w:t>
      </w:r>
      <w:r w:rsidRPr="00985152">
        <w:rPr>
          <w:sz w:val="22"/>
          <w:szCs w:val="22"/>
        </w:rPr>
        <w:t xml:space="preserve"> multiple Accounts, </w:t>
      </w:r>
      <w:r w:rsidR="002B0F93" w:rsidRPr="00985152">
        <w:rPr>
          <w:sz w:val="22"/>
          <w:szCs w:val="22"/>
        </w:rPr>
        <w:t>start by adding one account</w:t>
      </w:r>
      <w:r w:rsidR="003116E8">
        <w:rPr>
          <w:sz w:val="22"/>
          <w:szCs w:val="22"/>
        </w:rPr>
        <w:t xml:space="preserve">, </w:t>
      </w:r>
      <w:r w:rsidR="00AE023E">
        <w:rPr>
          <w:sz w:val="22"/>
          <w:szCs w:val="22"/>
        </w:rPr>
        <w:t>e.g. “salary, wages and fringe.”</w:t>
      </w:r>
      <w:r w:rsidR="002B0F93" w:rsidRPr="00985152">
        <w:rPr>
          <w:sz w:val="22"/>
          <w:szCs w:val="22"/>
        </w:rPr>
        <w:t xml:space="preserve"> O</w:t>
      </w:r>
      <w:r w:rsidRPr="00985152">
        <w:rPr>
          <w:sz w:val="22"/>
          <w:szCs w:val="22"/>
        </w:rPr>
        <w:t>nce you select “Add Unit”</w:t>
      </w:r>
      <w:r w:rsidR="00AE023E">
        <w:rPr>
          <w:sz w:val="22"/>
          <w:szCs w:val="22"/>
        </w:rPr>
        <w:t xml:space="preserve"> button</w:t>
      </w:r>
      <w:r w:rsidRPr="00985152">
        <w:rPr>
          <w:sz w:val="22"/>
          <w:szCs w:val="22"/>
        </w:rPr>
        <w:t xml:space="preserve"> at the bottom of the pop-up you will return to “Add Unit” under “Internal Cost Sharing” to add</w:t>
      </w:r>
      <w:r w:rsidR="00AE023E">
        <w:rPr>
          <w:sz w:val="22"/>
          <w:szCs w:val="22"/>
        </w:rPr>
        <w:t xml:space="preserve"> as many</w:t>
      </w:r>
      <w:r w:rsidRPr="00985152">
        <w:rPr>
          <w:sz w:val="22"/>
          <w:szCs w:val="22"/>
        </w:rPr>
        <w:t xml:space="preserve"> additional accounts</w:t>
      </w:r>
      <w:r w:rsidR="00AE023E">
        <w:rPr>
          <w:sz w:val="22"/>
          <w:szCs w:val="22"/>
        </w:rPr>
        <w:t xml:space="preserve"> as necessary</w:t>
      </w:r>
      <w:r w:rsidRPr="00985152">
        <w:rPr>
          <w:sz w:val="22"/>
          <w:szCs w:val="22"/>
        </w:rPr>
        <w:t>.)</w:t>
      </w:r>
    </w:p>
    <w:p w14:paraId="1E0052AF" w14:textId="0DFA044F" w:rsidR="00215873" w:rsidRPr="00985152" w:rsidRDefault="00215873" w:rsidP="00215873">
      <w:pPr>
        <w:tabs>
          <w:tab w:val="left" w:pos="1607"/>
        </w:tabs>
        <w:rPr>
          <w:sz w:val="22"/>
          <w:szCs w:val="22"/>
        </w:rPr>
      </w:pPr>
    </w:p>
    <w:p w14:paraId="4B83F99B" w14:textId="05472397" w:rsidR="003518F2" w:rsidRDefault="00302EA8" w:rsidP="00215873">
      <w:pPr>
        <w:tabs>
          <w:tab w:val="left" w:pos="1607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STEP </w:t>
      </w:r>
      <w:r w:rsidR="003116E8">
        <w:rPr>
          <w:b/>
          <w:bCs/>
          <w:sz w:val="22"/>
          <w:szCs w:val="22"/>
        </w:rPr>
        <w:t>THREE</w:t>
      </w:r>
      <w:r>
        <w:rPr>
          <w:b/>
          <w:bCs/>
          <w:sz w:val="22"/>
          <w:szCs w:val="22"/>
        </w:rPr>
        <w:t xml:space="preserve">: </w:t>
      </w:r>
      <w:r w:rsidR="003518F2" w:rsidRPr="00985152">
        <w:rPr>
          <w:b/>
          <w:bCs/>
          <w:sz w:val="22"/>
          <w:szCs w:val="22"/>
        </w:rPr>
        <w:t>UNIT</w:t>
      </w:r>
    </w:p>
    <w:p w14:paraId="152CFEBF" w14:textId="77777777" w:rsidR="003116E8" w:rsidRPr="00985152" w:rsidRDefault="003116E8" w:rsidP="00215873">
      <w:pPr>
        <w:tabs>
          <w:tab w:val="left" w:pos="1607"/>
        </w:tabs>
        <w:rPr>
          <w:b/>
          <w:bCs/>
          <w:sz w:val="22"/>
          <w:szCs w:val="22"/>
        </w:rPr>
      </w:pPr>
    </w:p>
    <w:p w14:paraId="43AD3C62" w14:textId="0BA7DDB7" w:rsidR="00A23976" w:rsidRPr="00985152" w:rsidRDefault="00A23976" w:rsidP="00215873">
      <w:pPr>
        <w:tabs>
          <w:tab w:val="left" w:pos="1607"/>
        </w:tabs>
        <w:rPr>
          <w:sz w:val="22"/>
          <w:szCs w:val="22"/>
        </w:rPr>
      </w:pPr>
      <w:r w:rsidRPr="00985152">
        <w:rPr>
          <w:sz w:val="22"/>
          <w:szCs w:val="22"/>
        </w:rPr>
        <w:t>Select the name of the Department/Unit Name that is providing matching funds for the corresponding Account.   Please note the “Unit Code” should begin with ‘CC</w:t>
      </w:r>
      <w:r w:rsidR="00114268" w:rsidRPr="00985152">
        <w:rPr>
          <w:sz w:val="22"/>
          <w:szCs w:val="22"/>
        </w:rPr>
        <w:t>,</w:t>
      </w:r>
      <w:r w:rsidRPr="00985152">
        <w:rPr>
          <w:sz w:val="22"/>
          <w:szCs w:val="22"/>
        </w:rPr>
        <w:t>’</w:t>
      </w:r>
      <w:r w:rsidR="00114268" w:rsidRPr="00985152">
        <w:rPr>
          <w:sz w:val="22"/>
          <w:szCs w:val="22"/>
        </w:rPr>
        <w:t xml:space="preserve"> with the exception of Graduate Assistantship accounts.</w:t>
      </w:r>
      <w:r w:rsidRPr="00985152">
        <w:rPr>
          <w:sz w:val="22"/>
          <w:szCs w:val="22"/>
        </w:rPr>
        <w:t xml:space="preserve">  Do not select a unit that begins with a ‘D.’</w:t>
      </w:r>
    </w:p>
    <w:p w14:paraId="3620FBBC" w14:textId="535BC7C0" w:rsidR="00A23976" w:rsidRPr="00985152" w:rsidRDefault="00A23976" w:rsidP="00215873">
      <w:pPr>
        <w:tabs>
          <w:tab w:val="left" w:pos="1607"/>
        </w:tabs>
        <w:rPr>
          <w:sz w:val="22"/>
          <w:szCs w:val="22"/>
        </w:rPr>
      </w:pPr>
    </w:p>
    <w:p w14:paraId="030AE98B" w14:textId="4CB63A27" w:rsidR="00C63844" w:rsidRPr="00985152" w:rsidRDefault="00C63844" w:rsidP="00215873">
      <w:pPr>
        <w:tabs>
          <w:tab w:val="left" w:pos="1607"/>
        </w:tabs>
        <w:rPr>
          <w:sz w:val="22"/>
          <w:szCs w:val="22"/>
          <w:u w:val="single"/>
        </w:rPr>
      </w:pPr>
      <w:r w:rsidRPr="00985152">
        <w:rPr>
          <w:sz w:val="22"/>
          <w:szCs w:val="22"/>
          <w:u w:val="single"/>
        </w:rPr>
        <w:t>Please note the following:</w:t>
      </w:r>
    </w:p>
    <w:p w14:paraId="05E1D4CB" w14:textId="77777777" w:rsidR="00C63844" w:rsidRPr="007C45A8" w:rsidRDefault="00C63844" w:rsidP="00215873">
      <w:pPr>
        <w:tabs>
          <w:tab w:val="left" w:pos="1607"/>
        </w:tabs>
        <w:rPr>
          <w:rFonts w:cstheme="minorHAnsi"/>
          <w:sz w:val="22"/>
          <w:szCs w:val="22"/>
        </w:rPr>
      </w:pPr>
    </w:p>
    <w:p w14:paraId="53116DED" w14:textId="3B305257" w:rsidR="00114268" w:rsidRPr="00E15D01" w:rsidRDefault="00114268" w:rsidP="00E15D01">
      <w:pPr>
        <w:rPr>
          <w:rFonts w:ascii="Times New Roman" w:eastAsia="Times New Roman" w:hAnsi="Times New Roman" w:cs="Times New Roman"/>
        </w:rPr>
      </w:pPr>
      <w:r w:rsidRPr="00916610">
        <w:rPr>
          <w:rFonts w:cstheme="minorHAnsi"/>
          <w:sz w:val="22"/>
          <w:szCs w:val="22"/>
        </w:rPr>
        <w:t xml:space="preserve">If selecting the “Indirect Costs” Account, select </w:t>
      </w:r>
      <w:r w:rsidR="007C45A8" w:rsidRPr="00916610">
        <w:rPr>
          <w:rFonts w:cstheme="minorHAnsi"/>
          <w:sz w:val="22"/>
          <w:szCs w:val="22"/>
        </w:rPr>
        <w:t>“</w:t>
      </w:r>
      <w:r w:rsidR="007C45A8" w:rsidRPr="00E15D01">
        <w:rPr>
          <w:rFonts w:eastAsia="Times New Roman" w:cstheme="minorHAnsi"/>
          <w:sz w:val="22"/>
          <w:szCs w:val="22"/>
        </w:rPr>
        <w:t xml:space="preserve">CC10039 Office of Sponsored </w:t>
      </w:r>
      <w:proofErr w:type="spellStart"/>
      <w:r w:rsidR="007C45A8" w:rsidRPr="00E15D01">
        <w:rPr>
          <w:rFonts w:eastAsia="Times New Roman" w:cstheme="minorHAnsi"/>
          <w:sz w:val="22"/>
          <w:szCs w:val="22"/>
        </w:rPr>
        <w:t>Prg</w:t>
      </w:r>
      <w:proofErr w:type="spellEnd"/>
      <w:r w:rsidR="007C45A8" w:rsidRPr="00E15D01">
        <w:rPr>
          <w:rFonts w:eastAsia="Times New Roman" w:cstheme="minorHAnsi"/>
          <w:sz w:val="22"/>
          <w:szCs w:val="22"/>
        </w:rPr>
        <w:t xml:space="preserve">” </w:t>
      </w:r>
      <w:r w:rsidRPr="00E15D01">
        <w:rPr>
          <w:rFonts w:cstheme="minorHAnsi"/>
          <w:sz w:val="22"/>
          <w:szCs w:val="22"/>
        </w:rPr>
        <w:t>as the Unit.</w:t>
      </w:r>
    </w:p>
    <w:p w14:paraId="1B8B88F2" w14:textId="77777777" w:rsidR="00114268" w:rsidRPr="00985152" w:rsidRDefault="00114268" w:rsidP="00215873">
      <w:pPr>
        <w:tabs>
          <w:tab w:val="left" w:pos="1607"/>
        </w:tabs>
        <w:rPr>
          <w:sz w:val="22"/>
          <w:szCs w:val="22"/>
        </w:rPr>
      </w:pPr>
    </w:p>
    <w:p w14:paraId="04DACFB5" w14:textId="12DD852E" w:rsidR="00114268" w:rsidRPr="00985152" w:rsidRDefault="00A23976" w:rsidP="00215873">
      <w:pPr>
        <w:tabs>
          <w:tab w:val="left" w:pos="1607"/>
        </w:tabs>
        <w:rPr>
          <w:sz w:val="22"/>
          <w:szCs w:val="22"/>
        </w:rPr>
      </w:pPr>
      <w:r w:rsidRPr="00985152">
        <w:rPr>
          <w:sz w:val="22"/>
          <w:szCs w:val="22"/>
        </w:rPr>
        <w:t xml:space="preserve">If selecting the “Graduate Assistantship” Account, </w:t>
      </w:r>
      <w:r w:rsidR="00114268" w:rsidRPr="00985152">
        <w:rPr>
          <w:sz w:val="22"/>
          <w:szCs w:val="22"/>
        </w:rPr>
        <w:t>follow the instructions below:</w:t>
      </w:r>
    </w:p>
    <w:p w14:paraId="105FCFBA" w14:textId="41FDBD40" w:rsidR="00916610" w:rsidRDefault="00916610" w:rsidP="00114268">
      <w:pPr>
        <w:pStyle w:val="ListParagraph"/>
        <w:numPr>
          <w:ilvl w:val="0"/>
          <w:numId w:val="2"/>
        </w:numPr>
        <w:tabs>
          <w:tab w:val="left" w:pos="1607"/>
        </w:tabs>
        <w:ind w:left="1080"/>
        <w:rPr>
          <w:sz w:val="22"/>
          <w:szCs w:val="22"/>
        </w:rPr>
      </w:pPr>
      <w:r>
        <w:rPr>
          <w:sz w:val="22"/>
          <w:szCs w:val="22"/>
        </w:rPr>
        <w:t>Type “TGS” as the Unit Name and select the appropriate program for the Graduate student. Note these Unit Codes begin with ‘TGS’</w:t>
      </w:r>
    </w:p>
    <w:p w14:paraId="560F89DE" w14:textId="2395E4EA" w:rsidR="00A23976" w:rsidRPr="00985152" w:rsidRDefault="00114268" w:rsidP="00215873">
      <w:pPr>
        <w:pStyle w:val="ListParagraph"/>
        <w:numPr>
          <w:ilvl w:val="0"/>
          <w:numId w:val="2"/>
        </w:numPr>
        <w:tabs>
          <w:tab w:val="left" w:pos="1607"/>
        </w:tabs>
        <w:ind w:left="1080"/>
        <w:rPr>
          <w:sz w:val="22"/>
          <w:szCs w:val="22"/>
        </w:rPr>
      </w:pPr>
      <w:r w:rsidRPr="00985152">
        <w:rPr>
          <w:sz w:val="22"/>
          <w:szCs w:val="22"/>
        </w:rPr>
        <w:t xml:space="preserve">In the Comment box, </w:t>
      </w:r>
      <w:r w:rsidR="00916610">
        <w:rPr>
          <w:sz w:val="22"/>
          <w:szCs w:val="22"/>
        </w:rPr>
        <w:t xml:space="preserve">state </w:t>
      </w:r>
      <w:r w:rsidRPr="00985152">
        <w:rPr>
          <w:sz w:val="22"/>
          <w:szCs w:val="22"/>
        </w:rPr>
        <w:t xml:space="preserve">whether the match includes Stipend, Tuition, or both.  </w:t>
      </w:r>
    </w:p>
    <w:p w14:paraId="36E3BEE6" w14:textId="77777777" w:rsidR="005156CE" w:rsidRPr="00985152" w:rsidRDefault="005156CE" w:rsidP="00215873">
      <w:pPr>
        <w:tabs>
          <w:tab w:val="left" w:pos="1607"/>
        </w:tabs>
        <w:rPr>
          <w:b/>
          <w:bCs/>
          <w:sz w:val="22"/>
          <w:szCs w:val="22"/>
        </w:rPr>
      </w:pPr>
    </w:p>
    <w:p w14:paraId="75CEA5BB" w14:textId="44276894" w:rsidR="00A23976" w:rsidRPr="00985152" w:rsidRDefault="00C63844" w:rsidP="00215873">
      <w:pPr>
        <w:tabs>
          <w:tab w:val="left" w:pos="1607"/>
        </w:tabs>
        <w:rPr>
          <w:sz w:val="22"/>
          <w:szCs w:val="22"/>
        </w:rPr>
      </w:pPr>
      <w:r w:rsidRPr="00985152">
        <w:rPr>
          <w:b/>
          <w:bCs/>
          <w:sz w:val="22"/>
          <w:szCs w:val="22"/>
        </w:rPr>
        <w:t>COMMITMENT TYPE:</w:t>
      </w:r>
    </w:p>
    <w:p w14:paraId="7BBE33D6" w14:textId="47D3AF8B" w:rsidR="00C63844" w:rsidRPr="00985152" w:rsidRDefault="00C63844" w:rsidP="00215873">
      <w:pPr>
        <w:tabs>
          <w:tab w:val="left" w:pos="1607"/>
        </w:tabs>
        <w:rPr>
          <w:sz w:val="22"/>
          <w:szCs w:val="22"/>
        </w:rPr>
      </w:pPr>
      <w:r w:rsidRPr="00985152">
        <w:rPr>
          <w:sz w:val="22"/>
          <w:szCs w:val="22"/>
        </w:rPr>
        <w:t>Select “Mandatory</w:t>
      </w:r>
      <w:r w:rsidR="00302EA8">
        <w:rPr>
          <w:sz w:val="22"/>
          <w:szCs w:val="22"/>
        </w:rPr>
        <w:t xml:space="preserve">.” Only in very rare cases is voluntary committed cost-sharing/matching allowable. </w:t>
      </w:r>
    </w:p>
    <w:p w14:paraId="592D14D6" w14:textId="57D7C3A7" w:rsidR="003518F2" w:rsidRPr="00985152" w:rsidRDefault="00A23976" w:rsidP="00215873">
      <w:pPr>
        <w:tabs>
          <w:tab w:val="left" w:pos="1607"/>
        </w:tabs>
        <w:rPr>
          <w:sz w:val="22"/>
          <w:szCs w:val="22"/>
        </w:rPr>
      </w:pPr>
      <w:r w:rsidRPr="00985152">
        <w:rPr>
          <w:sz w:val="22"/>
          <w:szCs w:val="22"/>
        </w:rPr>
        <w:t xml:space="preserve">  </w:t>
      </w:r>
    </w:p>
    <w:p w14:paraId="0B79B7BC" w14:textId="0AD256D2" w:rsidR="00C63844" w:rsidRPr="00985152" w:rsidRDefault="00C63844" w:rsidP="00215873">
      <w:pPr>
        <w:tabs>
          <w:tab w:val="left" w:pos="1607"/>
        </w:tabs>
        <w:rPr>
          <w:sz w:val="22"/>
          <w:szCs w:val="22"/>
        </w:rPr>
      </w:pPr>
      <w:r w:rsidRPr="00985152">
        <w:rPr>
          <w:b/>
          <w:bCs/>
          <w:sz w:val="22"/>
          <w:szCs w:val="22"/>
        </w:rPr>
        <w:t>MATCH TYPE:</w:t>
      </w:r>
    </w:p>
    <w:p w14:paraId="42596CFD" w14:textId="60E97038" w:rsidR="00C63844" w:rsidRPr="00985152" w:rsidRDefault="00EA5C64" w:rsidP="00215873">
      <w:pPr>
        <w:tabs>
          <w:tab w:val="left" w:pos="1607"/>
        </w:tabs>
        <w:rPr>
          <w:sz w:val="22"/>
          <w:szCs w:val="22"/>
        </w:rPr>
      </w:pPr>
      <w:r w:rsidRPr="00985152">
        <w:rPr>
          <w:sz w:val="22"/>
          <w:szCs w:val="22"/>
        </w:rPr>
        <w:t>Select “Cash Matching.”</w:t>
      </w:r>
      <w:r w:rsidR="00302EA8">
        <w:rPr>
          <w:sz w:val="22"/>
          <w:szCs w:val="22"/>
        </w:rPr>
        <w:t xml:space="preserve"> (In-kind refers to third-party cost-share/match</w:t>
      </w:r>
      <w:r w:rsidR="003116E8">
        <w:rPr>
          <w:sz w:val="22"/>
          <w:szCs w:val="22"/>
        </w:rPr>
        <w:t>.</w:t>
      </w:r>
      <w:r w:rsidR="00302EA8">
        <w:rPr>
          <w:sz w:val="22"/>
          <w:szCs w:val="22"/>
        </w:rPr>
        <w:t>)</w:t>
      </w:r>
    </w:p>
    <w:sectPr w:rsidR="00C63844" w:rsidRPr="00985152" w:rsidSect="0098515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E2319"/>
    <w:multiLevelType w:val="hybridMultilevel"/>
    <w:tmpl w:val="5750219A"/>
    <w:lvl w:ilvl="0" w:tplc="A4BADFF4">
      <w:numFmt w:val="bullet"/>
      <w:lvlText w:val="-"/>
      <w:lvlJc w:val="left"/>
      <w:pPr>
        <w:ind w:left="1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1" w15:restartNumberingAfterBreak="0">
    <w:nsid w:val="46637570"/>
    <w:multiLevelType w:val="hybridMultilevel"/>
    <w:tmpl w:val="2550D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879ED"/>
    <w:multiLevelType w:val="hybridMultilevel"/>
    <w:tmpl w:val="8FD4473A"/>
    <w:lvl w:ilvl="0" w:tplc="FDEABC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73"/>
    <w:rsid w:val="00114268"/>
    <w:rsid w:val="00123455"/>
    <w:rsid w:val="00215873"/>
    <w:rsid w:val="002B0F93"/>
    <w:rsid w:val="00302EA8"/>
    <w:rsid w:val="003116E8"/>
    <w:rsid w:val="003518F2"/>
    <w:rsid w:val="005156CE"/>
    <w:rsid w:val="005E4782"/>
    <w:rsid w:val="007C45A8"/>
    <w:rsid w:val="00855200"/>
    <w:rsid w:val="00916610"/>
    <w:rsid w:val="00985152"/>
    <w:rsid w:val="00A07ABE"/>
    <w:rsid w:val="00A23976"/>
    <w:rsid w:val="00AE023E"/>
    <w:rsid w:val="00C63844"/>
    <w:rsid w:val="00CB6D88"/>
    <w:rsid w:val="00E15D01"/>
    <w:rsid w:val="00E22785"/>
    <w:rsid w:val="00EA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4A078"/>
  <w15:chartTrackingRefBased/>
  <w15:docId w15:val="{44196D91-7114-474B-ABD0-3440BE39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8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02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4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Dorsett, Craig</dc:creator>
  <cp:keywords/>
  <dc:description/>
  <cp:lastModifiedBy>Dorsett, Craig</cp:lastModifiedBy>
  <cp:revision>3</cp:revision>
  <dcterms:created xsi:type="dcterms:W3CDTF">2020-10-19T00:59:00Z</dcterms:created>
  <dcterms:modified xsi:type="dcterms:W3CDTF">2020-10-19T01:01:00Z</dcterms:modified>
</cp:coreProperties>
</file>