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99DD" w14:textId="77777777" w:rsidR="001A5679" w:rsidRDefault="00107FE3">
      <w:pPr>
        <w:rPr>
          <w:sz w:val="24"/>
          <w:szCs w:val="24"/>
        </w:rPr>
      </w:pPr>
      <w:r>
        <w:rPr>
          <w:b/>
          <w:sz w:val="36"/>
          <w:szCs w:val="36"/>
        </w:rPr>
        <w:t>First Year Writing Annual Report AY 21/22</w:t>
      </w:r>
    </w:p>
    <w:p w14:paraId="0AE58E7A" w14:textId="77777777" w:rsidR="001A5679" w:rsidRDefault="00107FE3">
      <w:pPr>
        <w:rPr>
          <w:sz w:val="24"/>
          <w:szCs w:val="24"/>
        </w:rPr>
      </w:pPr>
      <w:r>
        <w:rPr>
          <w:sz w:val="24"/>
          <w:szCs w:val="24"/>
        </w:rPr>
        <w:t xml:space="preserve"> </w:t>
      </w:r>
    </w:p>
    <w:p w14:paraId="239793F9" w14:textId="77777777" w:rsidR="001A5679" w:rsidRDefault="00107FE3">
      <w:pPr>
        <w:rPr>
          <w:b/>
          <w:sz w:val="24"/>
          <w:szCs w:val="24"/>
        </w:rPr>
      </w:pPr>
      <w:r>
        <w:rPr>
          <w:b/>
          <w:sz w:val="24"/>
          <w:szCs w:val="24"/>
        </w:rPr>
        <w:t>Mission Statement</w:t>
      </w:r>
    </w:p>
    <w:p w14:paraId="09146D09" w14:textId="77777777" w:rsidR="001A5679" w:rsidRDefault="00107FE3">
      <w:pPr>
        <w:rPr>
          <w:sz w:val="24"/>
          <w:szCs w:val="24"/>
        </w:rPr>
      </w:pPr>
      <w:r>
        <w:rPr>
          <w:sz w:val="24"/>
          <w:szCs w:val="24"/>
        </w:rPr>
        <w:t xml:space="preserve">The mission of the First-Year Writing (FYW) program is to provide all undergraduate students with process-based instruction in academic writing that will support their continued growth and development as writers and thinkers throughout their undergraduate </w:t>
      </w:r>
      <w:r>
        <w:rPr>
          <w:sz w:val="24"/>
          <w:szCs w:val="24"/>
        </w:rPr>
        <w:t>education and beyond. Our two courses—College Writing I and College Writing II—are designed to connect writing, intellectual inquiry, and learning across the contexts of school, work, relationships, and community. The mission of the program is supported by</w:t>
      </w:r>
      <w:r>
        <w:rPr>
          <w:sz w:val="24"/>
          <w:szCs w:val="24"/>
        </w:rPr>
        <w:t xml:space="preserve"> standardized criteria for assessment of student writing, written collaboratively by full-time faculty.</w:t>
      </w:r>
    </w:p>
    <w:p w14:paraId="6FA7A0DF" w14:textId="77777777" w:rsidR="001A5679" w:rsidRDefault="001A5679">
      <w:pPr>
        <w:rPr>
          <w:sz w:val="24"/>
          <w:szCs w:val="24"/>
        </w:rPr>
      </w:pPr>
    </w:p>
    <w:p w14:paraId="0CD38A78" w14:textId="77777777" w:rsidR="001A5679" w:rsidRDefault="00107FE3">
      <w:pPr>
        <w:rPr>
          <w:b/>
          <w:sz w:val="24"/>
          <w:szCs w:val="24"/>
        </w:rPr>
      </w:pPr>
      <w:r>
        <w:rPr>
          <w:b/>
          <w:sz w:val="24"/>
          <w:szCs w:val="24"/>
        </w:rPr>
        <w:t>Program Leadership</w:t>
      </w:r>
    </w:p>
    <w:p w14:paraId="2A73D006" w14:textId="77777777" w:rsidR="001A5679" w:rsidRDefault="00107FE3">
      <w:pPr>
        <w:rPr>
          <w:sz w:val="24"/>
          <w:szCs w:val="24"/>
        </w:rPr>
      </w:pPr>
      <w:r>
        <w:rPr>
          <w:sz w:val="24"/>
          <w:szCs w:val="24"/>
        </w:rPr>
        <w:t xml:space="preserve">Caroline Dadas is in her fourth year of directing the program. In Fall 2021, Jennifer Holly-Wells left the university and Christine </w:t>
      </w:r>
      <w:proofErr w:type="spellStart"/>
      <w:r>
        <w:rPr>
          <w:sz w:val="24"/>
          <w:szCs w:val="24"/>
        </w:rPr>
        <w:t>Giancatarino</w:t>
      </w:r>
      <w:proofErr w:type="spellEnd"/>
      <w:r>
        <w:rPr>
          <w:sz w:val="24"/>
          <w:szCs w:val="24"/>
        </w:rPr>
        <w:t xml:space="preserve"> (Specialist faculty) assumed the role of Associate Director for the full academic year. We have hired Jazmine Thompson as the new permanent Associate Director, beginning in June. Liz Martin (Specialist faculty) assumed the role of Assistant Di</w:t>
      </w:r>
      <w:r>
        <w:rPr>
          <w:sz w:val="24"/>
          <w:szCs w:val="24"/>
        </w:rPr>
        <w:t>rector. The administrative team meets on a weekly basis to collaboratively move the work of the program forward. Caroline Dadas also meets with the department chair regularly to discuss FYW matters, a routine that proves especially important in a departmen</w:t>
      </w:r>
      <w:r>
        <w:rPr>
          <w:sz w:val="24"/>
          <w:szCs w:val="24"/>
        </w:rPr>
        <w:t xml:space="preserve">t where all faculty regularly teach WRIT 105 and 106. </w:t>
      </w:r>
    </w:p>
    <w:p w14:paraId="38003306" w14:textId="77777777" w:rsidR="001A5679" w:rsidRDefault="00107FE3">
      <w:pPr>
        <w:rPr>
          <w:sz w:val="24"/>
          <w:szCs w:val="24"/>
        </w:rPr>
      </w:pPr>
      <w:r>
        <w:rPr>
          <w:sz w:val="24"/>
          <w:szCs w:val="24"/>
        </w:rPr>
        <w:t xml:space="preserve"> </w:t>
      </w:r>
    </w:p>
    <w:p w14:paraId="7AB23389" w14:textId="77777777" w:rsidR="001A5679" w:rsidRDefault="00107FE3">
      <w:pPr>
        <w:rPr>
          <w:b/>
          <w:sz w:val="24"/>
          <w:szCs w:val="24"/>
        </w:rPr>
      </w:pPr>
      <w:r>
        <w:rPr>
          <w:b/>
          <w:sz w:val="24"/>
          <w:szCs w:val="24"/>
        </w:rPr>
        <w:t>Enrollment</w:t>
      </w:r>
    </w:p>
    <w:p w14:paraId="216FFE1D" w14:textId="77777777" w:rsidR="001A5679" w:rsidRDefault="00107FE3">
      <w:pPr>
        <w:rPr>
          <w:sz w:val="24"/>
          <w:szCs w:val="24"/>
        </w:rPr>
      </w:pPr>
      <w:r>
        <w:rPr>
          <w:sz w:val="24"/>
          <w:szCs w:val="24"/>
        </w:rPr>
        <w:t>A key highlight of our program is its size: the FYW program instructs nearly every undergraduate at the University. This academic year, the university welcomed Montclair State’s largest in</w:t>
      </w:r>
      <w:r>
        <w:rPr>
          <w:sz w:val="24"/>
          <w:szCs w:val="24"/>
        </w:rPr>
        <w:t>coming First Year class to date; the First Year Writing program adjusted to accommodate the increase in students.  Student needs continue to be diverse and significant across our demographic and drive program events, professional development, curricular in</w:t>
      </w:r>
      <w:r>
        <w:rPr>
          <w:sz w:val="24"/>
          <w:szCs w:val="24"/>
        </w:rPr>
        <w:t>itiatives, and staffing. Table 1 below outlines enrollment numbers for AY 21-22:</w:t>
      </w:r>
    </w:p>
    <w:p w14:paraId="60747560" w14:textId="77777777" w:rsidR="001A5679" w:rsidRDefault="001A5679">
      <w:pPr>
        <w:rPr>
          <w:sz w:val="24"/>
          <w:szCs w:val="24"/>
        </w:rPr>
      </w:pPr>
    </w:p>
    <w:tbl>
      <w:tblPr>
        <w:tblStyle w:val="a"/>
        <w:tblW w:w="10170" w:type="dxa"/>
        <w:tblBorders>
          <w:top w:val="nil"/>
          <w:left w:val="nil"/>
          <w:bottom w:val="nil"/>
          <w:right w:val="nil"/>
          <w:insideH w:val="nil"/>
          <w:insideV w:val="nil"/>
        </w:tblBorders>
        <w:tblLayout w:type="fixed"/>
        <w:tblLook w:val="0600" w:firstRow="0" w:lastRow="0" w:firstColumn="0" w:lastColumn="0" w:noHBand="1" w:noVBand="1"/>
      </w:tblPr>
      <w:tblGrid>
        <w:gridCol w:w="1260"/>
        <w:gridCol w:w="825"/>
        <w:gridCol w:w="690"/>
        <w:gridCol w:w="645"/>
        <w:gridCol w:w="825"/>
        <w:gridCol w:w="885"/>
        <w:gridCol w:w="585"/>
        <w:gridCol w:w="585"/>
        <w:gridCol w:w="885"/>
        <w:gridCol w:w="900"/>
        <w:gridCol w:w="585"/>
        <w:gridCol w:w="630"/>
        <w:gridCol w:w="870"/>
      </w:tblGrid>
      <w:tr w:rsidR="001A5679" w14:paraId="4884C751" w14:textId="77777777">
        <w:trPr>
          <w:trHeight w:val="780"/>
        </w:trPr>
        <w:tc>
          <w:tcPr>
            <w:tcW w:w="12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EC7D1B8" w14:textId="77777777" w:rsidR="001A5679" w:rsidRDefault="001A5679">
            <w:pPr>
              <w:widowControl w:val="0"/>
              <w:rPr>
                <w:sz w:val="20"/>
                <w:szCs w:val="20"/>
              </w:rPr>
            </w:pP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2C564A0" w14:textId="77777777" w:rsidR="001A5679" w:rsidRDefault="00107FE3">
            <w:pPr>
              <w:widowControl w:val="0"/>
              <w:rPr>
                <w:b/>
                <w:sz w:val="18"/>
                <w:szCs w:val="18"/>
              </w:rPr>
            </w:pPr>
            <w:r>
              <w:rPr>
                <w:b/>
                <w:sz w:val="18"/>
                <w:szCs w:val="18"/>
              </w:rPr>
              <w:t>105 sections</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9B20D70" w14:textId="77777777" w:rsidR="001A5679" w:rsidRDefault="00107FE3">
            <w:pPr>
              <w:widowControl w:val="0"/>
              <w:rPr>
                <w:b/>
                <w:sz w:val="18"/>
                <w:szCs w:val="18"/>
              </w:rPr>
            </w:pPr>
            <w:r>
              <w:rPr>
                <w:b/>
                <w:sz w:val="18"/>
                <w:szCs w:val="18"/>
              </w:rPr>
              <w:t>105 seats</w:t>
            </w:r>
          </w:p>
        </w:tc>
        <w:tc>
          <w:tcPr>
            <w:tcW w:w="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EBA6E2F" w14:textId="77777777" w:rsidR="001A5679" w:rsidRDefault="00107FE3">
            <w:pPr>
              <w:widowControl w:val="0"/>
              <w:rPr>
                <w:b/>
                <w:sz w:val="18"/>
                <w:szCs w:val="18"/>
              </w:rPr>
            </w:pPr>
            <w:r>
              <w:rPr>
                <w:b/>
                <w:sz w:val="18"/>
                <w:szCs w:val="18"/>
              </w:rPr>
              <w:t>105 used</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121F285" w14:textId="77777777" w:rsidR="001A5679" w:rsidRDefault="00107FE3">
            <w:pPr>
              <w:widowControl w:val="0"/>
              <w:rPr>
                <w:b/>
                <w:sz w:val="18"/>
                <w:szCs w:val="18"/>
              </w:rPr>
            </w:pPr>
            <w:r>
              <w:rPr>
                <w:b/>
                <w:sz w:val="18"/>
                <w:szCs w:val="18"/>
              </w:rPr>
              <w:t xml:space="preserve">% </w:t>
            </w:r>
            <w:proofErr w:type="gramStart"/>
            <w:r>
              <w:rPr>
                <w:b/>
                <w:sz w:val="18"/>
                <w:szCs w:val="18"/>
              </w:rPr>
              <w:t>capacity</w:t>
            </w:r>
            <w:proofErr w:type="gramEnd"/>
            <w:r>
              <w:rPr>
                <w:b/>
                <w:sz w:val="18"/>
                <w:szCs w:val="18"/>
              </w:rPr>
              <w:t xml:space="preserve"> used</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E618C18" w14:textId="77777777" w:rsidR="001A5679" w:rsidRDefault="00107FE3">
            <w:pPr>
              <w:widowControl w:val="0"/>
              <w:rPr>
                <w:b/>
                <w:sz w:val="18"/>
                <w:szCs w:val="18"/>
              </w:rPr>
            </w:pPr>
            <w:r>
              <w:rPr>
                <w:b/>
                <w:sz w:val="18"/>
                <w:szCs w:val="18"/>
              </w:rPr>
              <w:t>106 sections</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F483BE7" w14:textId="77777777" w:rsidR="001A5679" w:rsidRDefault="00107FE3">
            <w:pPr>
              <w:widowControl w:val="0"/>
              <w:rPr>
                <w:b/>
                <w:sz w:val="18"/>
                <w:szCs w:val="18"/>
              </w:rPr>
            </w:pPr>
            <w:r>
              <w:rPr>
                <w:b/>
                <w:sz w:val="18"/>
                <w:szCs w:val="18"/>
              </w:rPr>
              <w:t>106 seats</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12EE154" w14:textId="77777777" w:rsidR="001A5679" w:rsidRDefault="00107FE3">
            <w:pPr>
              <w:widowControl w:val="0"/>
              <w:rPr>
                <w:b/>
                <w:sz w:val="18"/>
                <w:szCs w:val="18"/>
              </w:rPr>
            </w:pPr>
            <w:r>
              <w:rPr>
                <w:b/>
                <w:sz w:val="18"/>
                <w:szCs w:val="18"/>
              </w:rPr>
              <w:t>106 used</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E870B90" w14:textId="77777777" w:rsidR="001A5679" w:rsidRDefault="00107FE3">
            <w:pPr>
              <w:widowControl w:val="0"/>
              <w:rPr>
                <w:b/>
                <w:sz w:val="18"/>
                <w:szCs w:val="18"/>
              </w:rPr>
            </w:pPr>
            <w:r>
              <w:rPr>
                <w:b/>
                <w:sz w:val="18"/>
                <w:szCs w:val="18"/>
              </w:rPr>
              <w:t xml:space="preserve">% </w:t>
            </w:r>
            <w:proofErr w:type="gramStart"/>
            <w:r>
              <w:rPr>
                <w:b/>
                <w:sz w:val="18"/>
                <w:szCs w:val="18"/>
              </w:rPr>
              <w:t>capacity</w:t>
            </w:r>
            <w:proofErr w:type="gramEnd"/>
            <w:r>
              <w:rPr>
                <w:b/>
                <w:sz w:val="18"/>
                <w:szCs w:val="18"/>
              </w:rPr>
              <w:t xml:space="preserve"> used</w:t>
            </w:r>
          </w:p>
        </w:tc>
        <w:tc>
          <w:tcPr>
            <w:tcW w:w="9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3DD3680F" w14:textId="77777777" w:rsidR="001A5679" w:rsidRDefault="00107FE3">
            <w:pPr>
              <w:widowControl w:val="0"/>
              <w:rPr>
                <w:b/>
                <w:sz w:val="18"/>
                <w:szCs w:val="18"/>
              </w:rPr>
            </w:pPr>
            <w:r>
              <w:rPr>
                <w:b/>
                <w:sz w:val="18"/>
                <w:szCs w:val="18"/>
              </w:rPr>
              <w:t>Total sections</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724BCBA2" w14:textId="77777777" w:rsidR="001A5679" w:rsidRDefault="00107FE3">
            <w:pPr>
              <w:widowControl w:val="0"/>
              <w:rPr>
                <w:b/>
                <w:sz w:val="18"/>
                <w:szCs w:val="18"/>
              </w:rPr>
            </w:pPr>
            <w:r>
              <w:rPr>
                <w:b/>
                <w:sz w:val="18"/>
                <w:szCs w:val="18"/>
              </w:rPr>
              <w:t>Total seats</w:t>
            </w:r>
          </w:p>
        </w:tc>
        <w:tc>
          <w:tcPr>
            <w:tcW w:w="63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0CFEAEE" w14:textId="77777777" w:rsidR="001A5679" w:rsidRDefault="00107FE3">
            <w:pPr>
              <w:widowControl w:val="0"/>
              <w:rPr>
                <w:b/>
                <w:sz w:val="18"/>
                <w:szCs w:val="18"/>
              </w:rPr>
            </w:pPr>
            <w:r>
              <w:rPr>
                <w:b/>
                <w:sz w:val="18"/>
                <w:szCs w:val="18"/>
              </w:rPr>
              <w:t>Total used</w:t>
            </w:r>
          </w:p>
        </w:tc>
        <w:tc>
          <w:tcPr>
            <w:tcW w:w="870" w:type="dxa"/>
            <w:tcBorders>
              <w:top w:val="single" w:sz="7" w:space="0" w:color="CCCCCC"/>
              <w:left w:val="single" w:sz="7" w:space="0" w:color="CCCCCC"/>
              <w:bottom w:val="single" w:sz="7" w:space="0" w:color="CCCCCC"/>
              <w:right w:val="single" w:sz="7" w:space="0" w:color="000000"/>
            </w:tcBorders>
            <w:tcMar>
              <w:top w:w="40" w:type="dxa"/>
              <w:left w:w="40" w:type="dxa"/>
              <w:bottom w:w="40" w:type="dxa"/>
              <w:right w:w="40" w:type="dxa"/>
            </w:tcMar>
            <w:vAlign w:val="bottom"/>
          </w:tcPr>
          <w:p w14:paraId="237487A7" w14:textId="77777777" w:rsidR="001A5679" w:rsidRDefault="00107FE3">
            <w:pPr>
              <w:widowControl w:val="0"/>
              <w:rPr>
                <w:b/>
                <w:sz w:val="18"/>
                <w:szCs w:val="18"/>
              </w:rPr>
            </w:pPr>
            <w:r>
              <w:rPr>
                <w:b/>
                <w:sz w:val="18"/>
                <w:szCs w:val="18"/>
              </w:rPr>
              <w:t>Total Capacity Used</w:t>
            </w:r>
          </w:p>
        </w:tc>
      </w:tr>
      <w:tr w:rsidR="001A5679" w14:paraId="20A71CE6" w14:textId="77777777">
        <w:trPr>
          <w:trHeight w:val="315"/>
        </w:trPr>
        <w:tc>
          <w:tcPr>
            <w:tcW w:w="12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8DF4A5D" w14:textId="77777777" w:rsidR="001A5679" w:rsidRDefault="00107FE3">
            <w:pPr>
              <w:widowControl w:val="0"/>
              <w:rPr>
                <w:b/>
                <w:sz w:val="18"/>
                <w:szCs w:val="18"/>
              </w:rPr>
            </w:pPr>
            <w:r>
              <w:rPr>
                <w:b/>
                <w:sz w:val="18"/>
                <w:szCs w:val="18"/>
              </w:rPr>
              <w:t>Summer 2021</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934A6C2" w14:textId="77777777" w:rsidR="001A5679" w:rsidRDefault="00107FE3">
            <w:pPr>
              <w:widowControl w:val="0"/>
              <w:jc w:val="right"/>
              <w:rPr>
                <w:sz w:val="18"/>
                <w:szCs w:val="18"/>
              </w:rPr>
            </w:pPr>
            <w:r>
              <w:rPr>
                <w:sz w:val="18"/>
                <w:szCs w:val="18"/>
              </w:rPr>
              <w:t>41</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3EE1335" w14:textId="77777777" w:rsidR="001A5679" w:rsidRDefault="00107FE3">
            <w:pPr>
              <w:widowControl w:val="0"/>
              <w:jc w:val="right"/>
              <w:rPr>
                <w:sz w:val="18"/>
                <w:szCs w:val="18"/>
              </w:rPr>
            </w:pPr>
            <w:r>
              <w:rPr>
                <w:sz w:val="18"/>
                <w:szCs w:val="18"/>
              </w:rPr>
              <w:t>776</w:t>
            </w:r>
          </w:p>
        </w:tc>
        <w:tc>
          <w:tcPr>
            <w:tcW w:w="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F638A9B" w14:textId="77777777" w:rsidR="001A5679" w:rsidRDefault="00107FE3">
            <w:pPr>
              <w:widowControl w:val="0"/>
              <w:jc w:val="right"/>
              <w:rPr>
                <w:sz w:val="18"/>
                <w:szCs w:val="18"/>
              </w:rPr>
            </w:pPr>
            <w:r>
              <w:rPr>
                <w:sz w:val="18"/>
                <w:szCs w:val="18"/>
              </w:rPr>
              <w:t>444</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8C9388C" w14:textId="77777777" w:rsidR="001A5679" w:rsidRDefault="00107FE3">
            <w:pPr>
              <w:widowControl w:val="0"/>
              <w:jc w:val="right"/>
              <w:rPr>
                <w:sz w:val="18"/>
                <w:szCs w:val="18"/>
              </w:rPr>
            </w:pPr>
            <w:r>
              <w:rPr>
                <w:sz w:val="18"/>
                <w:szCs w:val="18"/>
              </w:rPr>
              <w:t>57.22%</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7A8B1D56" w14:textId="77777777" w:rsidR="001A5679" w:rsidRDefault="00107FE3">
            <w:pPr>
              <w:widowControl w:val="0"/>
              <w:jc w:val="right"/>
              <w:rPr>
                <w:sz w:val="18"/>
                <w:szCs w:val="18"/>
              </w:rPr>
            </w:pPr>
            <w:r>
              <w:rPr>
                <w:sz w:val="18"/>
                <w:szCs w:val="18"/>
              </w:rPr>
              <w:t>5</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5F15B36" w14:textId="77777777" w:rsidR="001A5679" w:rsidRDefault="00107FE3">
            <w:pPr>
              <w:widowControl w:val="0"/>
              <w:jc w:val="right"/>
              <w:rPr>
                <w:sz w:val="18"/>
                <w:szCs w:val="18"/>
              </w:rPr>
            </w:pPr>
            <w:r>
              <w:rPr>
                <w:sz w:val="18"/>
                <w:szCs w:val="18"/>
              </w:rPr>
              <w:t>95</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74500E8" w14:textId="77777777" w:rsidR="001A5679" w:rsidRDefault="00107FE3">
            <w:pPr>
              <w:widowControl w:val="0"/>
              <w:jc w:val="right"/>
              <w:rPr>
                <w:sz w:val="18"/>
                <w:szCs w:val="18"/>
              </w:rPr>
            </w:pPr>
            <w:r>
              <w:rPr>
                <w:sz w:val="18"/>
                <w:szCs w:val="18"/>
              </w:rPr>
              <w:t>81</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D409967" w14:textId="77777777" w:rsidR="001A5679" w:rsidRDefault="00107FE3">
            <w:pPr>
              <w:widowControl w:val="0"/>
              <w:jc w:val="right"/>
              <w:rPr>
                <w:sz w:val="18"/>
                <w:szCs w:val="18"/>
              </w:rPr>
            </w:pPr>
            <w:r>
              <w:rPr>
                <w:sz w:val="18"/>
                <w:szCs w:val="18"/>
              </w:rPr>
              <w:t>85.26%</w:t>
            </w:r>
          </w:p>
        </w:tc>
        <w:tc>
          <w:tcPr>
            <w:tcW w:w="9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249C516" w14:textId="77777777" w:rsidR="001A5679" w:rsidRDefault="00107FE3">
            <w:pPr>
              <w:widowControl w:val="0"/>
              <w:jc w:val="right"/>
              <w:rPr>
                <w:sz w:val="18"/>
                <w:szCs w:val="18"/>
              </w:rPr>
            </w:pPr>
            <w:r>
              <w:rPr>
                <w:sz w:val="18"/>
                <w:szCs w:val="18"/>
              </w:rPr>
              <w:t>46</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31A871A" w14:textId="77777777" w:rsidR="001A5679" w:rsidRDefault="00107FE3">
            <w:pPr>
              <w:widowControl w:val="0"/>
              <w:jc w:val="right"/>
              <w:rPr>
                <w:sz w:val="18"/>
                <w:szCs w:val="18"/>
              </w:rPr>
            </w:pPr>
            <w:r>
              <w:rPr>
                <w:sz w:val="18"/>
                <w:szCs w:val="18"/>
              </w:rPr>
              <w:t>871</w:t>
            </w:r>
          </w:p>
        </w:tc>
        <w:tc>
          <w:tcPr>
            <w:tcW w:w="63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BBDCD70" w14:textId="77777777" w:rsidR="001A5679" w:rsidRDefault="00107FE3">
            <w:pPr>
              <w:widowControl w:val="0"/>
              <w:jc w:val="right"/>
              <w:rPr>
                <w:sz w:val="18"/>
                <w:szCs w:val="18"/>
              </w:rPr>
            </w:pPr>
            <w:r>
              <w:rPr>
                <w:sz w:val="18"/>
                <w:szCs w:val="18"/>
              </w:rPr>
              <w:t>525</w:t>
            </w:r>
          </w:p>
        </w:tc>
        <w:tc>
          <w:tcPr>
            <w:tcW w:w="87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B7EF5C4" w14:textId="77777777" w:rsidR="001A5679" w:rsidRDefault="00107FE3">
            <w:pPr>
              <w:widowControl w:val="0"/>
              <w:jc w:val="right"/>
              <w:rPr>
                <w:sz w:val="20"/>
                <w:szCs w:val="20"/>
              </w:rPr>
            </w:pPr>
            <w:r>
              <w:rPr>
                <w:sz w:val="20"/>
                <w:szCs w:val="20"/>
              </w:rPr>
              <w:t>60.28%</w:t>
            </w:r>
          </w:p>
        </w:tc>
      </w:tr>
      <w:tr w:rsidR="001A5679" w14:paraId="3C02EB37" w14:textId="77777777">
        <w:trPr>
          <w:trHeight w:val="315"/>
        </w:trPr>
        <w:tc>
          <w:tcPr>
            <w:tcW w:w="12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60C5BFA" w14:textId="77777777" w:rsidR="001A5679" w:rsidRDefault="00107FE3">
            <w:pPr>
              <w:widowControl w:val="0"/>
              <w:rPr>
                <w:b/>
                <w:sz w:val="18"/>
                <w:szCs w:val="18"/>
              </w:rPr>
            </w:pPr>
            <w:r>
              <w:rPr>
                <w:b/>
                <w:sz w:val="18"/>
                <w:szCs w:val="18"/>
              </w:rPr>
              <w:t>Fall 2021</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331570A" w14:textId="77777777" w:rsidR="001A5679" w:rsidRDefault="00107FE3">
            <w:pPr>
              <w:widowControl w:val="0"/>
              <w:jc w:val="right"/>
              <w:rPr>
                <w:sz w:val="18"/>
                <w:szCs w:val="18"/>
              </w:rPr>
            </w:pPr>
            <w:r>
              <w:rPr>
                <w:sz w:val="18"/>
                <w:szCs w:val="18"/>
              </w:rPr>
              <w:t>154</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76E516F0" w14:textId="77777777" w:rsidR="001A5679" w:rsidRDefault="00107FE3">
            <w:pPr>
              <w:widowControl w:val="0"/>
              <w:jc w:val="right"/>
              <w:rPr>
                <w:sz w:val="18"/>
                <w:szCs w:val="18"/>
              </w:rPr>
            </w:pPr>
            <w:r>
              <w:rPr>
                <w:sz w:val="18"/>
                <w:szCs w:val="18"/>
              </w:rPr>
              <w:t>2916</w:t>
            </w:r>
          </w:p>
        </w:tc>
        <w:tc>
          <w:tcPr>
            <w:tcW w:w="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DADDC23" w14:textId="77777777" w:rsidR="001A5679" w:rsidRDefault="00107FE3">
            <w:pPr>
              <w:widowControl w:val="0"/>
              <w:jc w:val="right"/>
              <w:rPr>
                <w:sz w:val="18"/>
                <w:szCs w:val="18"/>
              </w:rPr>
            </w:pPr>
            <w:r>
              <w:rPr>
                <w:sz w:val="18"/>
                <w:szCs w:val="18"/>
              </w:rPr>
              <w:t>2640</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1E31ABC" w14:textId="77777777" w:rsidR="001A5679" w:rsidRDefault="00107FE3">
            <w:pPr>
              <w:widowControl w:val="0"/>
              <w:jc w:val="right"/>
              <w:rPr>
                <w:sz w:val="18"/>
                <w:szCs w:val="18"/>
              </w:rPr>
            </w:pPr>
            <w:r>
              <w:rPr>
                <w:sz w:val="18"/>
                <w:szCs w:val="18"/>
              </w:rPr>
              <w:t>90.53%</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08566FB" w14:textId="77777777" w:rsidR="001A5679" w:rsidRDefault="00107FE3">
            <w:pPr>
              <w:widowControl w:val="0"/>
              <w:jc w:val="right"/>
              <w:rPr>
                <w:sz w:val="18"/>
                <w:szCs w:val="18"/>
              </w:rPr>
            </w:pPr>
            <w:r>
              <w:rPr>
                <w:sz w:val="18"/>
                <w:szCs w:val="18"/>
              </w:rPr>
              <w:t>18</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38CC6601" w14:textId="77777777" w:rsidR="001A5679" w:rsidRDefault="00107FE3">
            <w:pPr>
              <w:widowControl w:val="0"/>
              <w:jc w:val="right"/>
              <w:rPr>
                <w:sz w:val="18"/>
                <w:szCs w:val="18"/>
              </w:rPr>
            </w:pPr>
            <w:r>
              <w:rPr>
                <w:sz w:val="18"/>
                <w:szCs w:val="18"/>
              </w:rPr>
              <w:t>342</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471FE65" w14:textId="77777777" w:rsidR="001A5679" w:rsidRDefault="00107FE3">
            <w:pPr>
              <w:widowControl w:val="0"/>
              <w:jc w:val="right"/>
              <w:rPr>
                <w:sz w:val="18"/>
                <w:szCs w:val="18"/>
              </w:rPr>
            </w:pPr>
            <w:r>
              <w:rPr>
                <w:sz w:val="18"/>
                <w:szCs w:val="18"/>
              </w:rPr>
              <w:t>342</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74392DD9" w14:textId="77777777" w:rsidR="001A5679" w:rsidRDefault="00107FE3">
            <w:pPr>
              <w:widowControl w:val="0"/>
              <w:jc w:val="right"/>
              <w:rPr>
                <w:sz w:val="18"/>
                <w:szCs w:val="18"/>
              </w:rPr>
            </w:pPr>
            <w:r>
              <w:rPr>
                <w:sz w:val="18"/>
                <w:szCs w:val="18"/>
              </w:rPr>
              <w:t>100.00%</w:t>
            </w:r>
          </w:p>
        </w:tc>
        <w:tc>
          <w:tcPr>
            <w:tcW w:w="9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0A0D0C5" w14:textId="77777777" w:rsidR="001A5679" w:rsidRDefault="00107FE3">
            <w:pPr>
              <w:widowControl w:val="0"/>
              <w:jc w:val="right"/>
              <w:rPr>
                <w:sz w:val="18"/>
                <w:szCs w:val="18"/>
              </w:rPr>
            </w:pPr>
            <w:r>
              <w:rPr>
                <w:sz w:val="18"/>
                <w:szCs w:val="18"/>
              </w:rPr>
              <w:t>172</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47607FB" w14:textId="77777777" w:rsidR="001A5679" w:rsidRDefault="00107FE3">
            <w:pPr>
              <w:widowControl w:val="0"/>
              <w:jc w:val="right"/>
              <w:rPr>
                <w:sz w:val="18"/>
                <w:szCs w:val="18"/>
              </w:rPr>
            </w:pPr>
            <w:r>
              <w:rPr>
                <w:sz w:val="18"/>
                <w:szCs w:val="18"/>
              </w:rPr>
              <w:t>3258</w:t>
            </w:r>
          </w:p>
        </w:tc>
        <w:tc>
          <w:tcPr>
            <w:tcW w:w="63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7F1D1008" w14:textId="77777777" w:rsidR="001A5679" w:rsidRDefault="00107FE3">
            <w:pPr>
              <w:widowControl w:val="0"/>
              <w:jc w:val="right"/>
              <w:rPr>
                <w:sz w:val="18"/>
                <w:szCs w:val="18"/>
              </w:rPr>
            </w:pPr>
            <w:r>
              <w:rPr>
                <w:sz w:val="18"/>
                <w:szCs w:val="18"/>
              </w:rPr>
              <w:t>2982</w:t>
            </w:r>
          </w:p>
        </w:tc>
        <w:tc>
          <w:tcPr>
            <w:tcW w:w="87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8FCF9AC" w14:textId="77777777" w:rsidR="001A5679" w:rsidRDefault="00107FE3">
            <w:pPr>
              <w:widowControl w:val="0"/>
              <w:jc w:val="right"/>
              <w:rPr>
                <w:sz w:val="20"/>
                <w:szCs w:val="20"/>
              </w:rPr>
            </w:pPr>
            <w:r>
              <w:rPr>
                <w:sz w:val="20"/>
                <w:szCs w:val="20"/>
              </w:rPr>
              <w:t>91.53%</w:t>
            </w:r>
          </w:p>
        </w:tc>
      </w:tr>
      <w:tr w:rsidR="001A5679" w14:paraId="2BBC1DC1" w14:textId="77777777">
        <w:trPr>
          <w:trHeight w:val="315"/>
        </w:trPr>
        <w:tc>
          <w:tcPr>
            <w:tcW w:w="12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7066B81" w14:textId="77777777" w:rsidR="001A5679" w:rsidRDefault="00107FE3">
            <w:pPr>
              <w:widowControl w:val="0"/>
              <w:rPr>
                <w:b/>
                <w:sz w:val="18"/>
                <w:szCs w:val="18"/>
              </w:rPr>
            </w:pPr>
            <w:r>
              <w:rPr>
                <w:b/>
                <w:sz w:val="18"/>
                <w:szCs w:val="18"/>
              </w:rPr>
              <w:t>Winter 2022</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C571B7E" w14:textId="77777777" w:rsidR="001A5679" w:rsidRDefault="00107FE3">
            <w:pPr>
              <w:widowControl w:val="0"/>
              <w:jc w:val="right"/>
              <w:rPr>
                <w:sz w:val="18"/>
                <w:szCs w:val="18"/>
              </w:rPr>
            </w:pPr>
            <w:r>
              <w:rPr>
                <w:sz w:val="18"/>
                <w:szCs w:val="18"/>
              </w:rPr>
              <w:t>0</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4C66C45" w14:textId="77777777" w:rsidR="001A5679" w:rsidRDefault="00107FE3">
            <w:pPr>
              <w:widowControl w:val="0"/>
              <w:jc w:val="right"/>
              <w:rPr>
                <w:sz w:val="18"/>
                <w:szCs w:val="18"/>
              </w:rPr>
            </w:pPr>
            <w:r>
              <w:rPr>
                <w:sz w:val="18"/>
                <w:szCs w:val="18"/>
              </w:rPr>
              <w:t>0</w:t>
            </w:r>
          </w:p>
        </w:tc>
        <w:tc>
          <w:tcPr>
            <w:tcW w:w="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B344F15" w14:textId="77777777" w:rsidR="001A5679" w:rsidRDefault="00107FE3">
            <w:pPr>
              <w:widowControl w:val="0"/>
              <w:jc w:val="right"/>
              <w:rPr>
                <w:sz w:val="18"/>
                <w:szCs w:val="18"/>
              </w:rPr>
            </w:pPr>
            <w:r>
              <w:rPr>
                <w:sz w:val="18"/>
                <w:szCs w:val="18"/>
              </w:rPr>
              <w:t>0</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0CAC56D" w14:textId="77777777" w:rsidR="001A5679" w:rsidRDefault="00107FE3">
            <w:pPr>
              <w:widowControl w:val="0"/>
              <w:jc w:val="right"/>
              <w:rPr>
                <w:sz w:val="18"/>
                <w:szCs w:val="18"/>
              </w:rPr>
            </w:pPr>
            <w:r>
              <w:rPr>
                <w:sz w:val="18"/>
                <w:szCs w:val="18"/>
              </w:rPr>
              <w:t>0</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E04B68D" w14:textId="77777777" w:rsidR="001A5679" w:rsidRDefault="00107FE3">
            <w:pPr>
              <w:widowControl w:val="0"/>
              <w:jc w:val="right"/>
              <w:rPr>
                <w:sz w:val="18"/>
                <w:szCs w:val="18"/>
              </w:rPr>
            </w:pPr>
            <w:r>
              <w:rPr>
                <w:sz w:val="18"/>
                <w:szCs w:val="18"/>
              </w:rPr>
              <w:t>0</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5DBEB6E" w14:textId="77777777" w:rsidR="001A5679" w:rsidRDefault="00107FE3">
            <w:pPr>
              <w:widowControl w:val="0"/>
              <w:jc w:val="right"/>
              <w:rPr>
                <w:sz w:val="18"/>
                <w:szCs w:val="18"/>
              </w:rPr>
            </w:pPr>
            <w:r>
              <w:rPr>
                <w:sz w:val="18"/>
                <w:szCs w:val="18"/>
              </w:rPr>
              <w:t>0</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0E3BB3E" w14:textId="77777777" w:rsidR="001A5679" w:rsidRDefault="00107FE3">
            <w:pPr>
              <w:widowControl w:val="0"/>
              <w:jc w:val="right"/>
              <w:rPr>
                <w:sz w:val="18"/>
                <w:szCs w:val="18"/>
              </w:rPr>
            </w:pPr>
            <w:r>
              <w:rPr>
                <w:sz w:val="18"/>
                <w:szCs w:val="18"/>
              </w:rPr>
              <w:t>0</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7B932305" w14:textId="77777777" w:rsidR="001A5679" w:rsidRDefault="00107FE3">
            <w:pPr>
              <w:widowControl w:val="0"/>
              <w:jc w:val="right"/>
              <w:rPr>
                <w:sz w:val="18"/>
                <w:szCs w:val="18"/>
              </w:rPr>
            </w:pPr>
            <w:r>
              <w:rPr>
                <w:sz w:val="18"/>
                <w:szCs w:val="18"/>
              </w:rPr>
              <w:t>0</w:t>
            </w:r>
          </w:p>
        </w:tc>
        <w:tc>
          <w:tcPr>
            <w:tcW w:w="9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6B36D6D" w14:textId="77777777" w:rsidR="001A5679" w:rsidRDefault="00107FE3">
            <w:pPr>
              <w:widowControl w:val="0"/>
              <w:jc w:val="right"/>
              <w:rPr>
                <w:sz w:val="18"/>
                <w:szCs w:val="18"/>
              </w:rPr>
            </w:pPr>
            <w:r>
              <w:rPr>
                <w:sz w:val="18"/>
                <w:szCs w:val="18"/>
              </w:rPr>
              <w:t>0</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3C79DD1E" w14:textId="77777777" w:rsidR="001A5679" w:rsidRDefault="00107FE3">
            <w:pPr>
              <w:widowControl w:val="0"/>
              <w:jc w:val="right"/>
              <w:rPr>
                <w:sz w:val="18"/>
                <w:szCs w:val="18"/>
              </w:rPr>
            </w:pPr>
            <w:r>
              <w:rPr>
                <w:sz w:val="18"/>
                <w:szCs w:val="18"/>
              </w:rPr>
              <w:t>0</w:t>
            </w:r>
          </w:p>
        </w:tc>
        <w:tc>
          <w:tcPr>
            <w:tcW w:w="63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A249EAB" w14:textId="77777777" w:rsidR="001A5679" w:rsidRDefault="00107FE3">
            <w:pPr>
              <w:widowControl w:val="0"/>
              <w:jc w:val="right"/>
              <w:rPr>
                <w:sz w:val="18"/>
                <w:szCs w:val="18"/>
              </w:rPr>
            </w:pPr>
            <w:r>
              <w:rPr>
                <w:sz w:val="18"/>
                <w:szCs w:val="18"/>
              </w:rPr>
              <w:t>0</w:t>
            </w:r>
          </w:p>
        </w:tc>
        <w:tc>
          <w:tcPr>
            <w:tcW w:w="87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9E7C6A2" w14:textId="77777777" w:rsidR="001A5679" w:rsidRDefault="00107FE3">
            <w:pPr>
              <w:widowControl w:val="0"/>
              <w:jc w:val="right"/>
              <w:rPr>
                <w:sz w:val="20"/>
                <w:szCs w:val="20"/>
              </w:rPr>
            </w:pPr>
            <w:r>
              <w:rPr>
                <w:sz w:val="20"/>
                <w:szCs w:val="20"/>
              </w:rPr>
              <w:t>0</w:t>
            </w:r>
          </w:p>
        </w:tc>
      </w:tr>
      <w:tr w:rsidR="001A5679" w14:paraId="7BEA1E15" w14:textId="77777777">
        <w:trPr>
          <w:trHeight w:val="315"/>
        </w:trPr>
        <w:tc>
          <w:tcPr>
            <w:tcW w:w="12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ACE33FA" w14:textId="77777777" w:rsidR="001A5679" w:rsidRDefault="00107FE3">
            <w:pPr>
              <w:widowControl w:val="0"/>
              <w:rPr>
                <w:b/>
                <w:sz w:val="18"/>
                <w:szCs w:val="18"/>
              </w:rPr>
            </w:pPr>
            <w:r>
              <w:rPr>
                <w:b/>
                <w:sz w:val="18"/>
                <w:szCs w:val="18"/>
              </w:rPr>
              <w:t>Spring 2022</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03ACE6E0" w14:textId="77777777" w:rsidR="001A5679" w:rsidRDefault="00107FE3">
            <w:pPr>
              <w:widowControl w:val="0"/>
              <w:jc w:val="right"/>
              <w:rPr>
                <w:sz w:val="18"/>
                <w:szCs w:val="18"/>
              </w:rPr>
            </w:pPr>
            <w:r>
              <w:rPr>
                <w:sz w:val="18"/>
                <w:szCs w:val="18"/>
              </w:rPr>
              <w:t>23</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B21C5F7" w14:textId="77777777" w:rsidR="001A5679" w:rsidRDefault="00107FE3">
            <w:pPr>
              <w:widowControl w:val="0"/>
              <w:jc w:val="right"/>
              <w:rPr>
                <w:sz w:val="18"/>
                <w:szCs w:val="18"/>
              </w:rPr>
            </w:pPr>
            <w:r>
              <w:rPr>
                <w:sz w:val="18"/>
                <w:szCs w:val="18"/>
              </w:rPr>
              <w:t>437</w:t>
            </w:r>
          </w:p>
        </w:tc>
        <w:tc>
          <w:tcPr>
            <w:tcW w:w="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79B45D1C" w14:textId="77777777" w:rsidR="001A5679" w:rsidRDefault="00107FE3">
            <w:pPr>
              <w:widowControl w:val="0"/>
              <w:jc w:val="right"/>
              <w:rPr>
                <w:sz w:val="18"/>
                <w:szCs w:val="18"/>
              </w:rPr>
            </w:pPr>
            <w:r>
              <w:rPr>
                <w:sz w:val="18"/>
                <w:szCs w:val="18"/>
              </w:rPr>
              <w:t>433</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764E6D9" w14:textId="77777777" w:rsidR="001A5679" w:rsidRDefault="00107FE3">
            <w:pPr>
              <w:widowControl w:val="0"/>
              <w:jc w:val="right"/>
              <w:rPr>
                <w:sz w:val="18"/>
                <w:szCs w:val="18"/>
              </w:rPr>
            </w:pPr>
            <w:r>
              <w:rPr>
                <w:sz w:val="18"/>
                <w:szCs w:val="18"/>
              </w:rPr>
              <w:t>99.08%</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4F8C70F" w14:textId="77777777" w:rsidR="001A5679" w:rsidRDefault="00107FE3">
            <w:pPr>
              <w:widowControl w:val="0"/>
              <w:jc w:val="right"/>
              <w:rPr>
                <w:sz w:val="18"/>
                <w:szCs w:val="18"/>
              </w:rPr>
            </w:pPr>
            <w:r>
              <w:rPr>
                <w:sz w:val="18"/>
                <w:szCs w:val="18"/>
              </w:rPr>
              <w:t>129</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6F95514" w14:textId="77777777" w:rsidR="001A5679" w:rsidRDefault="00107FE3">
            <w:pPr>
              <w:widowControl w:val="0"/>
              <w:jc w:val="right"/>
              <w:rPr>
                <w:sz w:val="18"/>
                <w:szCs w:val="18"/>
              </w:rPr>
            </w:pPr>
            <w:r>
              <w:rPr>
                <w:sz w:val="18"/>
                <w:szCs w:val="18"/>
              </w:rPr>
              <w:t>2451</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4641B6CF" w14:textId="77777777" w:rsidR="001A5679" w:rsidRDefault="00107FE3">
            <w:pPr>
              <w:widowControl w:val="0"/>
              <w:jc w:val="right"/>
              <w:rPr>
                <w:sz w:val="18"/>
                <w:szCs w:val="18"/>
              </w:rPr>
            </w:pPr>
            <w:r>
              <w:rPr>
                <w:sz w:val="18"/>
                <w:szCs w:val="18"/>
              </w:rPr>
              <w:t>2446</w:t>
            </w:r>
          </w:p>
        </w:tc>
        <w:tc>
          <w:tcPr>
            <w:tcW w:w="8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20EF52B" w14:textId="77777777" w:rsidR="001A5679" w:rsidRDefault="00107FE3">
            <w:pPr>
              <w:widowControl w:val="0"/>
              <w:jc w:val="right"/>
              <w:rPr>
                <w:sz w:val="18"/>
                <w:szCs w:val="18"/>
              </w:rPr>
            </w:pPr>
            <w:r>
              <w:rPr>
                <w:sz w:val="18"/>
                <w:szCs w:val="18"/>
              </w:rPr>
              <w:t>99.80%</w:t>
            </w:r>
          </w:p>
        </w:tc>
        <w:tc>
          <w:tcPr>
            <w:tcW w:w="90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72E067E2" w14:textId="77777777" w:rsidR="001A5679" w:rsidRDefault="00107FE3">
            <w:pPr>
              <w:widowControl w:val="0"/>
              <w:jc w:val="right"/>
              <w:rPr>
                <w:sz w:val="18"/>
                <w:szCs w:val="18"/>
              </w:rPr>
            </w:pPr>
            <w:r>
              <w:rPr>
                <w:sz w:val="18"/>
                <w:szCs w:val="18"/>
              </w:rPr>
              <w:t>152</w:t>
            </w:r>
          </w:p>
        </w:tc>
        <w:tc>
          <w:tcPr>
            <w:tcW w:w="58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5FE2D35" w14:textId="77777777" w:rsidR="001A5679" w:rsidRDefault="00107FE3">
            <w:pPr>
              <w:widowControl w:val="0"/>
              <w:jc w:val="right"/>
              <w:rPr>
                <w:sz w:val="18"/>
                <w:szCs w:val="18"/>
              </w:rPr>
            </w:pPr>
            <w:r>
              <w:rPr>
                <w:sz w:val="18"/>
                <w:szCs w:val="18"/>
              </w:rPr>
              <w:t>2888</w:t>
            </w:r>
          </w:p>
        </w:tc>
        <w:tc>
          <w:tcPr>
            <w:tcW w:w="63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3191782" w14:textId="77777777" w:rsidR="001A5679" w:rsidRDefault="00107FE3">
            <w:pPr>
              <w:widowControl w:val="0"/>
              <w:jc w:val="right"/>
              <w:rPr>
                <w:sz w:val="18"/>
                <w:szCs w:val="18"/>
              </w:rPr>
            </w:pPr>
            <w:r>
              <w:rPr>
                <w:sz w:val="18"/>
                <w:szCs w:val="18"/>
              </w:rPr>
              <w:t>2879</w:t>
            </w:r>
          </w:p>
        </w:tc>
        <w:tc>
          <w:tcPr>
            <w:tcW w:w="87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4A7941F" w14:textId="77777777" w:rsidR="001A5679" w:rsidRDefault="00107FE3">
            <w:pPr>
              <w:widowControl w:val="0"/>
              <w:jc w:val="right"/>
              <w:rPr>
                <w:sz w:val="20"/>
                <w:szCs w:val="20"/>
              </w:rPr>
            </w:pPr>
            <w:r>
              <w:rPr>
                <w:sz w:val="20"/>
                <w:szCs w:val="20"/>
              </w:rPr>
              <w:t>99.69%</w:t>
            </w:r>
          </w:p>
        </w:tc>
      </w:tr>
      <w:tr w:rsidR="001A5679" w14:paraId="7F0FC7D9" w14:textId="77777777">
        <w:trPr>
          <w:trHeight w:val="540"/>
        </w:trPr>
        <w:tc>
          <w:tcPr>
            <w:tcW w:w="126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F910E01" w14:textId="77777777" w:rsidR="001A5679" w:rsidRDefault="00107FE3">
            <w:pPr>
              <w:widowControl w:val="0"/>
              <w:rPr>
                <w:b/>
                <w:sz w:val="18"/>
                <w:szCs w:val="18"/>
              </w:rPr>
            </w:pPr>
            <w:r>
              <w:rPr>
                <w:b/>
                <w:sz w:val="18"/>
                <w:szCs w:val="18"/>
              </w:rPr>
              <w:lastRenderedPageBreak/>
              <w:t>Spring 2022 2nd term 105 class</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5AD3184D" w14:textId="77777777" w:rsidR="001A5679" w:rsidRDefault="00107FE3">
            <w:pPr>
              <w:widowControl w:val="0"/>
              <w:jc w:val="right"/>
              <w:rPr>
                <w:sz w:val="18"/>
                <w:szCs w:val="18"/>
              </w:rPr>
            </w:pPr>
            <w:r>
              <w:rPr>
                <w:sz w:val="18"/>
                <w:szCs w:val="18"/>
              </w:rPr>
              <w:t>1</w:t>
            </w:r>
          </w:p>
        </w:tc>
        <w:tc>
          <w:tcPr>
            <w:tcW w:w="69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6F5816F0" w14:textId="77777777" w:rsidR="001A5679" w:rsidRDefault="00107FE3">
            <w:pPr>
              <w:widowControl w:val="0"/>
              <w:jc w:val="right"/>
              <w:rPr>
                <w:sz w:val="18"/>
                <w:szCs w:val="18"/>
              </w:rPr>
            </w:pPr>
            <w:r>
              <w:rPr>
                <w:sz w:val="18"/>
                <w:szCs w:val="18"/>
              </w:rPr>
              <w:t>19</w:t>
            </w:r>
          </w:p>
        </w:tc>
        <w:tc>
          <w:tcPr>
            <w:tcW w:w="64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2174F4A5" w14:textId="77777777" w:rsidR="001A5679" w:rsidRDefault="00107FE3">
            <w:pPr>
              <w:widowControl w:val="0"/>
              <w:jc w:val="right"/>
              <w:rPr>
                <w:sz w:val="18"/>
                <w:szCs w:val="18"/>
              </w:rPr>
            </w:pPr>
            <w:r>
              <w:rPr>
                <w:sz w:val="18"/>
                <w:szCs w:val="18"/>
              </w:rPr>
              <w:t>20</w:t>
            </w:r>
          </w:p>
        </w:tc>
        <w:tc>
          <w:tcPr>
            <w:tcW w:w="825"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EDA105F" w14:textId="77777777" w:rsidR="001A5679" w:rsidRDefault="00107FE3">
            <w:pPr>
              <w:widowControl w:val="0"/>
              <w:jc w:val="right"/>
              <w:rPr>
                <w:sz w:val="18"/>
                <w:szCs w:val="18"/>
              </w:rPr>
            </w:pPr>
            <w:r>
              <w:rPr>
                <w:sz w:val="18"/>
                <w:szCs w:val="18"/>
              </w:rPr>
              <w:t>105.26%</w:t>
            </w:r>
          </w:p>
        </w:tc>
        <w:tc>
          <w:tcPr>
            <w:tcW w:w="5055" w:type="dxa"/>
            <w:gridSpan w:val="7"/>
            <w:tcBorders>
              <w:top w:val="single" w:sz="7" w:space="0" w:color="CCCCCC"/>
              <w:left w:val="single" w:sz="7" w:space="0" w:color="CCCCCC"/>
              <w:bottom w:val="single" w:sz="7" w:space="0" w:color="CCCCCC"/>
              <w:right w:val="single" w:sz="7" w:space="0" w:color="000000"/>
            </w:tcBorders>
            <w:tcMar>
              <w:top w:w="40" w:type="dxa"/>
              <w:left w:w="40" w:type="dxa"/>
              <w:bottom w:w="40" w:type="dxa"/>
              <w:right w:w="40" w:type="dxa"/>
            </w:tcMar>
            <w:vAlign w:val="bottom"/>
          </w:tcPr>
          <w:p w14:paraId="2EB2C95B" w14:textId="77777777" w:rsidR="001A5679" w:rsidRDefault="00107FE3">
            <w:pPr>
              <w:widowControl w:val="0"/>
              <w:rPr>
                <w:sz w:val="18"/>
                <w:szCs w:val="18"/>
              </w:rPr>
            </w:pPr>
            <w:r>
              <w:rPr>
                <w:sz w:val="18"/>
                <w:szCs w:val="18"/>
              </w:rPr>
              <w:t>(</w:t>
            </w:r>
            <w:proofErr w:type="gramStart"/>
            <w:r>
              <w:rPr>
                <w:sz w:val="18"/>
                <w:szCs w:val="18"/>
              </w:rPr>
              <w:t>this</w:t>
            </w:r>
            <w:proofErr w:type="gramEnd"/>
            <w:r>
              <w:rPr>
                <w:sz w:val="18"/>
                <w:szCs w:val="18"/>
              </w:rPr>
              <w:t xml:space="preserve"> 2nd term course not factored into stats above)</w:t>
            </w:r>
          </w:p>
        </w:tc>
        <w:tc>
          <w:tcPr>
            <w:tcW w:w="870" w:type="dxa"/>
            <w:tcBorders>
              <w:top w:val="single" w:sz="7" w:space="0" w:color="CCCCCC"/>
              <w:left w:val="single" w:sz="7" w:space="0" w:color="CCCCCC"/>
              <w:bottom w:val="single" w:sz="7" w:space="0" w:color="CCCCCC"/>
              <w:right w:val="single" w:sz="7" w:space="0" w:color="CCCCCC"/>
            </w:tcBorders>
            <w:tcMar>
              <w:top w:w="40" w:type="dxa"/>
              <w:left w:w="40" w:type="dxa"/>
              <w:bottom w:w="40" w:type="dxa"/>
              <w:right w:w="40" w:type="dxa"/>
            </w:tcMar>
            <w:vAlign w:val="bottom"/>
          </w:tcPr>
          <w:p w14:paraId="1BE36E6B" w14:textId="77777777" w:rsidR="001A5679" w:rsidRDefault="001A5679">
            <w:pPr>
              <w:widowControl w:val="0"/>
              <w:rPr>
                <w:sz w:val="20"/>
                <w:szCs w:val="20"/>
              </w:rPr>
            </w:pPr>
          </w:p>
        </w:tc>
      </w:tr>
    </w:tbl>
    <w:p w14:paraId="1B72CCE4" w14:textId="77777777" w:rsidR="001A5679" w:rsidRDefault="00107FE3">
      <w:pPr>
        <w:rPr>
          <w:b/>
          <w:sz w:val="24"/>
          <w:szCs w:val="24"/>
        </w:rPr>
      </w:pPr>
      <w:r>
        <w:rPr>
          <w:sz w:val="18"/>
          <w:szCs w:val="18"/>
        </w:rPr>
        <w:t>Table 1: AY 21-22 enrollment across First Year Writing courses</w:t>
      </w:r>
    </w:p>
    <w:p w14:paraId="1E2B0073" w14:textId="77777777" w:rsidR="001A5679" w:rsidRDefault="001A5679">
      <w:pPr>
        <w:rPr>
          <w:b/>
          <w:sz w:val="24"/>
          <w:szCs w:val="24"/>
        </w:rPr>
      </w:pPr>
    </w:p>
    <w:p w14:paraId="72BD0966" w14:textId="77777777" w:rsidR="001A5679" w:rsidRDefault="00107FE3">
      <w:pPr>
        <w:rPr>
          <w:sz w:val="24"/>
          <w:szCs w:val="24"/>
        </w:rPr>
      </w:pPr>
      <w:r>
        <w:rPr>
          <w:sz w:val="24"/>
          <w:szCs w:val="24"/>
        </w:rPr>
        <w:t>A few key notes about the table above:</w:t>
      </w:r>
    </w:p>
    <w:p w14:paraId="591E9526" w14:textId="77777777" w:rsidR="001A5679" w:rsidRDefault="00107FE3">
      <w:pPr>
        <w:numPr>
          <w:ilvl w:val="0"/>
          <w:numId w:val="3"/>
        </w:numPr>
        <w:rPr>
          <w:sz w:val="24"/>
          <w:szCs w:val="24"/>
        </w:rPr>
      </w:pPr>
      <w:r>
        <w:rPr>
          <w:sz w:val="24"/>
          <w:szCs w:val="24"/>
        </w:rPr>
        <w:t>The calculations (specifically for Fall, Winter, and Spring) were calculated after the drop/add deadline. Former Associate Director, Jennifer Holly Wells shared that the timing of this calculation is more an art than science; some calculate the number duri</w:t>
      </w:r>
      <w:r>
        <w:rPr>
          <w:sz w:val="24"/>
          <w:szCs w:val="24"/>
        </w:rPr>
        <w:t xml:space="preserve">ng the first week of classes before drop/add; others calculate after drop/add.  Christine </w:t>
      </w:r>
      <w:proofErr w:type="spellStart"/>
      <w:r>
        <w:rPr>
          <w:sz w:val="24"/>
          <w:szCs w:val="24"/>
        </w:rPr>
        <w:t>Giancatarino</w:t>
      </w:r>
      <w:proofErr w:type="spellEnd"/>
      <w:r>
        <w:rPr>
          <w:sz w:val="24"/>
          <w:szCs w:val="24"/>
        </w:rPr>
        <w:t xml:space="preserve"> calculated after the drop/add deadline for the AY 21-22 academic year so that enrollment numbers matched the grade data. Moving forward, Jazmine Thompson</w:t>
      </w:r>
      <w:r>
        <w:rPr>
          <w:sz w:val="24"/>
          <w:szCs w:val="24"/>
        </w:rPr>
        <w:t xml:space="preserve"> might choose to time the calculations differently.</w:t>
      </w:r>
    </w:p>
    <w:p w14:paraId="054CBFD4" w14:textId="77777777" w:rsidR="001A5679" w:rsidRDefault="00107FE3">
      <w:pPr>
        <w:numPr>
          <w:ilvl w:val="0"/>
          <w:numId w:val="3"/>
        </w:numPr>
        <w:rPr>
          <w:sz w:val="24"/>
          <w:szCs w:val="24"/>
        </w:rPr>
      </w:pPr>
      <w:r>
        <w:rPr>
          <w:sz w:val="24"/>
          <w:szCs w:val="24"/>
        </w:rPr>
        <w:t xml:space="preserve">For the Fall 2021 WRIT “105 Seats” calculation, two of our fully online sections were capped at 14 instead of 19. The reasons for this are unclear and might have been a carryover by the registrar. In any </w:t>
      </w:r>
      <w:r>
        <w:rPr>
          <w:sz w:val="24"/>
          <w:szCs w:val="24"/>
        </w:rPr>
        <w:t>case, the WRIT “105 Seats” number calculates these two classes at a 14 cap.</w:t>
      </w:r>
    </w:p>
    <w:p w14:paraId="6C67E681" w14:textId="77777777" w:rsidR="001A5679" w:rsidRDefault="00107FE3">
      <w:pPr>
        <w:numPr>
          <w:ilvl w:val="0"/>
          <w:numId w:val="3"/>
        </w:numPr>
        <w:rPr>
          <w:sz w:val="24"/>
          <w:szCs w:val="24"/>
        </w:rPr>
      </w:pPr>
      <w:r>
        <w:rPr>
          <w:sz w:val="24"/>
          <w:szCs w:val="24"/>
        </w:rPr>
        <w:t xml:space="preserve">Of note for Spring 2022: 6 sections of 105 were added late; 33 sections of 106 were canceled, including many of the evening sections; 1 2nd-term (8 week) WRIT class was added late </w:t>
      </w:r>
      <w:r>
        <w:rPr>
          <w:sz w:val="24"/>
          <w:szCs w:val="24"/>
        </w:rPr>
        <w:t>to accommodate the demand.</w:t>
      </w:r>
    </w:p>
    <w:p w14:paraId="6902CF6F" w14:textId="77777777" w:rsidR="001A5679" w:rsidRDefault="001A5679">
      <w:pPr>
        <w:rPr>
          <w:b/>
          <w:sz w:val="24"/>
          <w:szCs w:val="24"/>
        </w:rPr>
      </w:pPr>
    </w:p>
    <w:p w14:paraId="2BDCB6CF" w14:textId="77777777" w:rsidR="001A5679" w:rsidRDefault="001A5679">
      <w:pPr>
        <w:rPr>
          <w:b/>
          <w:sz w:val="24"/>
          <w:szCs w:val="24"/>
        </w:rPr>
      </w:pPr>
    </w:p>
    <w:p w14:paraId="4D5DE2BD" w14:textId="77777777" w:rsidR="001A5679" w:rsidRDefault="00107FE3">
      <w:pPr>
        <w:rPr>
          <w:sz w:val="24"/>
          <w:szCs w:val="24"/>
        </w:rPr>
      </w:pPr>
      <w:r>
        <w:rPr>
          <w:b/>
          <w:sz w:val="24"/>
          <w:szCs w:val="24"/>
        </w:rPr>
        <w:t>Curriculum</w:t>
      </w:r>
    </w:p>
    <w:p w14:paraId="25D047B3" w14:textId="77777777" w:rsidR="001A5679" w:rsidRDefault="00107FE3">
      <w:pPr>
        <w:rPr>
          <w:sz w:val="24"/>
          <w:szCs w:val="24"/>
        </w:rPr>
      </w:pPr>
      <w:r>
        <w:rPr>
          <w:sz w:val="24"/>
          <w:szCs w:val="24"/>
        </w:rPr>
        <w:t>The FYW program offers two courses:</w:t>
      </w:r>
    </w:p>
    <w:p w14:paraId="425B6C1A" w14:textId="77777777" w:rsidR="001A5679" w:rsidRDefault="00107FE3">
      <w:pPr>
        <w:numPr>
          <w:ilvl w:val="0"/>
          <w:numId w:val="4"/>
        </w:numPr>
        <w:rPr>
          <w:sz w:val="24"/>
          <w:szCs w:val="24"/>
        </w:rPr>
      </w:pPr>
      <w:r>
        <w:rPr>
          <w:sz w:val="24"/>
          <w:szCs w:val="24"/>
        </w:rPr>
        <w:t>WRIT 105, College Writing I: The first of two required general education writing</w:t>
      </w:r>
    </w:p>
    <w:p w14:paraId="484F05A0" w14:textId="77777777" w:rsidR="001A5679" w:rsidRDefault="00107FE3">
      <w:pPr>
        <w:ind w:left="720"/>
        <w:rPr>
          <w:sz w:val="24"/>
          <w:szCs w:val="24"/>
        </w:rPr>
      </w:pPr>
      <w:r>
        <w:rPr>
          <w:sz w:val="24"/>
          <w:szCs w:val="24"/>
        </w:rPr>
        <w:t>courses, WRIT 105 takes a broad, interdisciplinary focus on academic argument and analytical writing.</w:t>
      </w:r>
    </w:p>
    <w:p w14:paraId="1A979F59" w14:textId="77777777" w:rsidR="001A5679" w:rsidRDefault="00107FE3">
      <w:pPr>
        <w:numPr>
          <w:ilvl w:val="0"/>
          <w:numId w:val="2"/>
        </w:numPr>
        <w:rPr>
          <w:sz w:val="24"/>
          <w:szCs w:val="24"/>
        </w:rPr>
      </w:pPr>
      <w:r>
        <w:rPr>
          <w:sz w:val="24"/>
          <w:szCs w:val="24"/>
        </w:rPr>
        <w:t>WRIT 106, College Writing II: The second of two required general education writing courses, ENWR 106 currently engages students in critical reading of tex</w:t>
      </w:r>
      <w:r>
        <w:rPr>
          <w:sz w:val="24"/>
          <w:szCs w:val="24"/>
        </w:rPr>
        <w:t>ts while continuing the emphasis on academic argument and analytical writing. This past year, we ran a pilot program for faculty interested in teaching a research-oriented focused WRIT 106; we will use the results of this pilot to determine if this is a vi</w:t>
      </w:r>
      <w:r>
        <w:rPr>
          <w:sz w:val="24"/>
          <w:szCs w:val="24"/>
        </w:rPr>
        <w:t xml:space="preserve">able option for the future. </w:t>
      </w:r>
    </w:p>
    <w:p w14:paraId="45C8D31A" w14:textId="77777777" w:rsidR="001A5679" w:rsidRDefault="00107FE3">
      <w:pPr>
        <w:rPr>
          <w:sz w:val="24"/>
          <w:szCs w:val="24"/>
        </w:rPr>
      </w:pPr>
      <w:r>
        <w:rPr>
          <w:sz w:val="24"/>
          <w:szCs w:val="24"/>
        </w:rPr>
        <w:t xml:space="preserve"> </w:t>
      </w:r>
    </w:p>
    <w:p w14:paraId="44576802" w14:textId="77777777" w:rsidR="001A5679" w:rsidRDefault="00107FE3">
      <w:pPr>
        <w:rPr>
          <w:sz w:val="24"/>
          <w:szCs w:val="24"/>
        </w:rPr>
      </w:pPr>
      <w:r>
        <w:rPr>
          <w:sz w:val="24"/>
          <w:szCs w:val="24"/>
        </w:rPr>
        <w:t>We take a process-based approach to writing instruction, with an emphasis on multiple drafts, peer review, and one-on-one conferencing. All courses end</w:t>
      </w:r>
    </w:p>
    <w:p w14:paraId="683DED37" w14:textId="77777777" w:rsidR="001A5679" w:rsidRDefault="00107FE3">
      <w:pPr>
        <w:rPr>
          <w:sz w:val="24"/>
          <w:szCs w:val="24"/>
        </w:rPr>
      </w:pPr>
      <w:r>
        <w:rPr>
          <w:sz w:val="24"/>
          <w:szCs w:val="24"/>
        </w:rPr>
        <w:t>with students’ submission of cumulative portfolios to demonstrate improve</w:t>
      </w:r>
      <w:r>
        <w:rPr>
          <w:sz w:val="24"/>
          <w:szCs w:val="24"/>
        </w:rPr>
        <w:t>ment over</w:t>
      </w:r>
    </w:p>
    <w:p w14:paraId="2AC244AD" w14:textId="77777777" w:rsidR="001A5679" w:rsidRDefault="00107FE3">
      <w:pPr>
        <w:rPr>
          <w:sz w:val="24"/>
          <w:szCs w:val="24"/>
        </w:rPr>
      </w:pPr>
      <w:r>
        <w:rPr>
          <w:sz w:val="24"/>
          <w:szCs w:val="24"/>
        </w:rPr>
        <w:t xml:space="preserve">time. Students produce three major essays in each course, and all essays in each course undergo a three-draft process that includes peer and instructor feedback. </w:t>
      </w:r>
      <w:proofErr w:type="gramStart"/>
      <w:r>
        <w:rPr>
          <w:sz w:val="24"/>
          <w:szCs w:val="24"/>
        </w:rPr>
        <w:t>Instructors[</w:t>
      </w:r>
      <w:proofErr w:type="gramEnd"/>
      <w:r>
        <w:rPr>
          <w:sz w:val="24"/>
          <w:szCs w:val="24"/>
        </w:rPr>
        <w:t xml:space="preserve">1]  choose among textbooks approved by the program, and they have the </w:t>
      </w:r>
      <w:r>
        <w:rPr>
          <w:sz w:val="24"/>
          <w:szCs w:val="24"/>
        </w:rPr>
        <w:lastRenderedPageBreak/>
        <w:t>op</w:t>
      </w:r>
      <w:r>
        <w:rPr>
          <w:sz w:val="24"/>
          <w:szCs w:val="24"/>
        </w:rPr>
        <w:t>tion of drawing on materials outside of the recommended texts (including increasingly the design of textbook-free, open-access courses) in consultation with the program director. In the Spring semester, Liz Martin began developing an OER collection for the</w:t>
      </w:r>
      <w:r>
        <w:rPr>
          <w:sz w:val="24"/>
          <w:szCs w:val="24"/>
        </w:rPr>
        <w:t xml:space="preserve"> program, including student essays. We plan to build on this collection in future semesters. </w:t>
      </w:r>
    </w:p>
    <w:p w14:paraId="79D177B0" w14:textId="77777777" w:rsidR="001A5679" w:rsidRDefault="00107FE3">
      <w:pPr>
        <w:rPr>
          <w:sz w:val="24"/>
          <w:szCs w:val="24"/>
        </w:rPr>
      </w:pPr>
      <w:r>
        <w:rPr>
          <w:sz w:val="24"/>
          <w:szCs w:val="24"/>
        </w:rPr>
        <w:t xml:space="preserve"> </w:t>
      </w:r>
    </w:p>
    <w:p w14:paraId="73E988C8" w14:textId="77777777" w:rsidR="001A5679" w:rsidRDefault="00107FE3">
      <w:pPr>
        <w:rPr>
          <w:sz w:val="24"/>
          <w:szCs w:val="24"/>
        </w:rPr>
      </w:pPr>
      <w:r>
        <w:rPr>
          <w:sz w:val="24"/>
          <w:szCs w:val="24"/>
        </w:rPr>
        <w:t>During AY 21-22, the program piloted a new approach to assessment called labor-based contract grading. Popularized in the field of Writing Studies by Asao Inoue</w:t>
      </w:r>
      <w:r>
        <w:rPr>
          <w:sz w:val="24"/>
          <w:szCs w:val="24"/>
        </w:rPr>
        <w:t xml:space="preserve"> (2015), this approach to assessment rewards students for completing drafts, discussion boards, and other assignments. In a process-oriented class such as First Year Writing, this approach encourages students to participate in the kinds of scaffolding acti</w:t>
      </w:r>
      <w:r>
        <w:rPr>
          <w:sz w:val="24"/>
          <w:szCs w:val="24"/>
        </w:rPr>
        <w:t>vities that we know will help them become better writers. It requires, however, a fairly extensive reorientation around grades for both faculty and students. For this reason, the FYW program began experimenting with this approach via a voluntary pilot in F</w:t>
      </w:r>
      <w:r>
        <w:rPr>
          <w:sz w:val="24"/>
          <w:szCs w:val="24"/>
        </w:rPr>
        <w:t>all 2021; participating faculty were then surveyed about their experiences. Data from that survey is included below.</w:t>
      </w:r>
    </w:p>
    <w:p w14:paraId="61314595" w14:textId="77777777" w:rsidR="001A5679" w:rsidRDefault="00107FE3">
      <w:pPr>
        <w:rPr>
          <w:sz w:val="24"/>
          <w:szCs w:val="24"/>
        </w:rPr>
      </w:pPr>
      <w:r>
        <w:rPr>
          <w:sz w:val="24"/>
          <w:szCs w:val="24"/>
        </w:rPr>
        <w:t xml:space="preserve"> </w:t>
      </w:r>
    </w:p>
    <w:p w14:paraId="3A4758BE" w14:textId="77777777" w:rsidR="001A5679" w:rsidRDefault="00107FE3">
      <w:pPr>
        <w:rPr>
          <w:sz w:val="24"/>
          <w:szCs w:val="24"/>
        </w:rPr>
      </w:pPr>
      <w:r>
        <w:rPr>
          <w:sz w:val="24"/>
          <w:szCs w:val="24"/>
        </w:rPr>
        <w:t xml:space="preserve"> </w:t>
      </w:r>
    </w:p>
    <w:p w14:paraId="5E245547" w14:textId="77777777" w:rsidR="001A5679" w:rsidRDefault="00107FE3">
      <w:pPr>
        <w:rPr>
          <w:sz w:val="24"/>
          <w:szCs w:val="24"/>
        </w:rPr>
      </w:pPr>
      <w:r>
        <w:rPr>
          <w:sz w:val="24"/>
          <w:szCs w:val="24"/>
        </w:rPr>
        <w:t xml:space="preserve"> </w:t>
      </w:r>
    </w:p>
    <w:p w14:paraId="32E85FFB" w14:textId="77777777" w:rsidR="001A5679" w:rsidRDefault="00107FE3">
      <w:pPr>
        <w:rPr>
          <w:sz w:val="24"/>
          <w:szCs w:val="24"/>
        </w:rPr>
      </w:pPr>
      <w:r>
        <w:rPr>
          <w:sz w:val="24"/>
          <w:szCs w:val="24"/>
        </w:rPr>
        <w:t xml:space="preserve"> </w:t>
      </w:r>
    </w:p>
    <w:p w14:paraId="17B6FC33" w14:textId="77777777" w:rsidR="001A5679" w:rsidRDefault="00107FE3">
      <w:pPr>
        <w:rPr>
          <w:sz w:val="24"/>
          <w:szCs w:val="24"/>
        </w:rPr>
      </w:pPr>
      <w:r>
        <w:rPr>
          <w:sz w:val="24"/>
          <w:szCs w:val="24"/>
        </w:rPr>
        <w:t xml:space="preserve"> </w:t>
      </w:r>
    </w:p>
    <w:p w14:paraId="61F5E619" w14:textId="77777777" w:rsidR="001A5679" w:rsidRDefault="00107FE3">
      <w:pPr>
        <w:rPr>
          <w:sz w:val="24"/>
          <w:szCs w:val="24"/>
        </w:rPr>
      </w:pPr>
      <w:r>
        <w:rPr>
          <w:sz w:val="24"/>
          <w:szCs w:val="24"/>
        </w:rPr>
        <w:t xml:space="preserve"> </w:t>
      </w:r>
      <w:r>
        <w:rPr>
          <w:noProof/>
          <w:sz w:val="24"/>
          <w:szCs w:val="24"/>
        </w:rPr>
        <w:drawing>
          <wp:inline distT="114300" distB="114300" distL="114300" distR="114300" wp14:anchorId="52C45BEB" wp14:editId="52073351">
            <wp:extent cx="5943600" cy="25400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943600" cy="2540000"/>
                    </a:xfrm>
                    <a:prstGeom prst="rect">
                      <a:avLst/>
                    </a:prstGeom>
                    <a:ln/>
                  </pic:spPr>
                </pic:pic>
              </a:graphicData>
            </a:graphic>
          </wp:inline>
        </w:drawing>
      </w:r>
    </w:p>
    <w:p w14:paraId="3189486A" w14:textId="77777777" w:rsidR="001A5679" w:rsidRDefault="001A5679">
      <w:pPr>
        <w:rPr>
          <w:sz w:val="24"/>
          <w:szCs w:val="24"/>
        </w:rPr>
      </w:pPr>
    </w:p>
    <w:p w14:paraId="7AABE398" w14:textId="77777777" w:rsidR="001A5679" w:rsidRDefault="00107FE3">
      <w:pPr>
        <w:rPr>
          <w:sz w:val="24"/>
          <w:szCs w:val="24"/>
        </w:rPr>
      </w:pPr>
      <w:r>
        <w:rPr>
          <w:noProof/>
          <w:sz w:val="24"/>
          <w:szCs w:val="24"/>
        </w:rPr>
        <w:lastRenderedPageBreak/>
        <w:drawing>
          <wp:inline distT="114300" distB="114300" distL="114300" distR="114300" wp14:anchorId="7948884F" wp14:editId="6EA22F64">
            <wp:extent cx="5943600" cy="261620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943600" cy="2616200"/>
                    </a:xfrm>
                    <a:prstGeom prst="rect">
                      <a:avLst/>
                    </a:prstGeom>
                    <a:ln/>
                  </pic:spPr>
                </pic:pic>
              </a:graphicData>
            </a:graphic>
          </wp:inline>
        </w:drawing>
      </w:r>
    </w:p>
    <w:p w14:paraId="2F473D4C" w14:textId="77777777" w:rsidR="001A5679" w:rsidRDefault="001A5679">
      <w:pPr>
        <w:rPr>
          <w:sz w:val="24"/>
          <w:szCs w:val="24"/>
        </w:rPr>
      </w:pPr>
    </w:p>
    <w:p w14:paraId="5B0768D8" w14:textId="77777777" w:rsidR="001A5679" w:rsidRDefault="00107FE3">
      <w:pPr>
        <w:rPr>
          <w:sz w:val="24"/>
          <w:szCs w:val="24"/>
        </w:rPr>
      </w:pPr>
      <w:r>
        <w:rPr>
          <w:noProof/>
          <w:sz w:val="24"/>
          <w:szCs w:val="24"/>
        </w:rPr>
        <w:drawing>
          <wp:inline distT="114300" distB="114300" distL="114300" distR="114300" wp14:anchorId="5F00F05C" wp14:editId="4211DBF4">
            <wp:extent cx="5943600" cy="2565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2565400"/>
                    </a:xfrm>
                    <a:prstGeom prst="rect">
                      <a:avLst/>
                    </a:prstGeom>
                    <a:ln/>
                  </pic:spPr>
                </pic:pic>
              </a:graphicData>
            </a:graphic>
          </wp:inline>
        </w:drawing>
      </w:r>
    </w:p>
    <w:p w14:paraId="464E1750" w14:textId="77777777" w:rsidR="001A5679" w:rsidRDefault="001A5679">
      <w:pPr>
        <w:rPr>
          <w:sz w:val="24"/>
          <w:szCs w:val="24"/>
        </w:rPr>
      </w:pPr>
    </w:p>
    <w:p w14:paraId="3CE120AB" w14:textId="77777777" w:rsidR="001A5679" w:rsidRDefault="00107FE3">
      <w:pPr>
        <w:rPr>
          <w:sz w:val="24"/>
          <w:szCs w:val="24"/>
        </w:rPr>
      </w:pPr>
      <w:r>
        <w:rPr>
          <w:noProof/>
          <w:sz w:val="24"/>
          <w:szCs w:val="24"/>
        </w:rPr>
        <w:drawing>
          <wp:inline distT="114300" distB="114300" distL="114300" distR="114300" wp14:anchorId="422FF403" wp14:editId="44B0DECC">
            <wp:extent cx="5943600" cy="22606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2260600"/>
                    </a:xfrm>
                    <a:prstGeom prst="rect">
                      <a:avLst/>
                    </a:prstGeom>
                    <a:ln/>
                  </pic:spPr>
                </pic:pic>
              </a:graphicData>
            </a:graphic>
          </wp:inline>
        </w:drawing>
      </w:r>
    </w:p>
    <w:p w14:paraId="23AF1A56" w14:textId="77777777" w:rsidR="001A5679" w:rsidRDefault="001A5679">
      <w:pPr>
        <w:rPr>
          <w:sz w:val="24"/>
          <w:szCs w:val="24"/>
        </w:rPr>
      </w:pPr>
    </w:p>
    <w:p w14:paraId="0F922365" w14:textId="77777777" w:rsidR="001A5679" w:rsidRDefault="001A5679">
      <w:pPr>
        <w:rPr>
          <w:sz w:val="24"/>
          <w:szCs w:val="24"/>
        </w:rPr>
      </w:pPr>
    </w:p>
    <w:p w14:paraId="74649E79" w14:textId="77777777" w:rsidR="001A5679" w:rsidRDefault="00107FE3">
      <w:pPr>
        <w:rPr>
          <w:sz w:val="24"/>
          <w:szCs w:val="24"/>
        </w:rPr>
      </w:pPr>
      <w:r>
        <w:rPr>
          <w:sz w:val="24"/>
          <w:szCs w:val="24"/>
        </w:rPr>
        <w:t xml:space="preserve"> </w:t>
      </w:r>
    </w:p>
    <w:p w14:paraId="53207E6B" w14:textId="77777777" w:rsidR="001A5679" w:rsidRDefault="00107FE3">
      <w:pPr>
        <w:rPr>
          <w:sz w:val="24"/>
          <w:szCs w:val="24"/>
        </w:rPr>
      </w:pPr>
      <w:r>
        <w:rPr>
          <w:sz w:val="24"/>
          <w:szCs w:val="24"/>
        </w:rPr>
        <w:t xml:space="preserve"> </w:t>
      </w:r>
    </w:p>
    <w:p w14:paraId="209EAF75" w14:textId="77777777" w:rsidR="001A5679" w:rsidRDefault="00107FE3">
      <w:pPr>
        <w:rPr>
          <w:sz w:val="24"/>
          <w:szCs w:val="24"/>
        </w:rPr>
      </w:pPr>
      <w:r>
        <w:rPr>
          <w:sz w:val="24"/>
          <w:szCs w:val="24"/>
        </w:rPr>
        <w:t xml:space="preserve"> </w:t>
      </w:r>
      <w:r>
        <w:rPr>
          <w:noProof/>
          <w:sz w:val="24"/>
          <w:szCs w:val="24"/>
        </w:rPr>
        <w:drawing>
          <wp:inline distT="114300" distB="114300" distL="114300" distR="114300" wp14:anchorId="50600B6E" wp14:editId="0FA35434">
            <wp:extent cx="5943600" cy="23495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43600" cy="2349500"/>
                    </a:xfrm>
                    <a:prstGeom prst="rect">
                      <a:avLst/>
                    </a:prstGeom>
                    <a:ln/>
                  </pic:spPr>
                </pic:pic>
              </a:graphicData>
            </a:graphic>
          </wp:inline>
        </w:drawing>
      </w:r>
    </w:p>
    <w:p w14:paraId="02BDD427" w14:textId="77777777" w:rsidR="001A5679" w:rsidRDefault="001A5679">
      <w:pPr>
        <w:rPr>
          <w:sz w:val="24"/>
          <w:szCs w:val="24"/>
        </w:rPr>
      </w:pPr>
    </w:p>
    <w:p w14:paraId="47809BEF" w14:textId="77777777" w:rsidR="001A5679" w:rsidRDefault="00107FE3">
      <w:pPr>
        <w:rPr>
          <w:sz w:val="24"/>
          <w:szCs w:val="24"/>
        </w:rPr>
      </w:pPr>
      <w:r>
        <w:rPr>
          <w:noProof/>
          <w:sz w:val="24"/>
          <w:szCs w:val="24"/>
        </w:rPr>
        <w:drawing>
          <wp:inline distT="114300" distB="114300" distL="114300" distR="114300" wp14:anchorId="07E20F2F" wp14:editId="066D2BB6">
            <wp:extent cx="5943600" cy="22606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2260600"/>
                    </a:xfrm>
                    <a:prstGeom prst="rect">
                      <a:avLst/>
                    </a:prstGeom>
                    <a:ln/>
                  </pic:spPr>
                </pic:pic>
              </a:graphicData>
            </a:graphic>
          </wp:inline>
        </w:drawing>
      </w:r>
    </w:p>
    <w:p w14:paraId="2BEAE968" w14:textId="77777777" w:rsidR="001A5679" w:rsidRDefault="00107FE3">
      <w:pPr>
        <w:rPr>
          <w:sz w:val="24"/>
          <w:szCs w:val="24"/>
        </w:rPr>
      </w:pPr>
      <w:r>
        <w:rPr>
          <w:noProof/>
          <w:sz w:val="24"/>
          <w:szCs w:val="24"/>
        </w:rPr>
        <w:drawing>
          <wp:inline distT="114300" distB="114300" distL="114300" distR="114300" wp14:anchorId="253289FC" wp14:editId="1EE44A1D">
            <wp:extent cx="5943600" cy="25273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943600" cy="2527300"/>
                    </a:xfrm>
                    <a:prstGeom prst="rect">
                      <a:avLst/>
                    </a:prstGeom>
                    <a:ln/>
                  </pic:spPr>
                </pic:pic>
              </a:graphicData>
            </a:graphic>
          </wp:inline>
        </w:drawing>
      </w:r>
    </w:p>
    <w:p w14:paraId="6E09137E" w14:textId="77777777" w:rsidR="001A5679" w:rsidRDefault="001A5679">
      <w:pPr>
        <w:rPr>
          <w:sz w:val="24"/>
          <w:szCs w:val="24"/>
        </w:rPr>
      </w:pPr>
    </w:p>
    <w:p w14:paraId="6D3DCB5F" w14:textId="77777777" w:rsidR="001A5679" w:rsidRDefault="00107FE3">
      <w:pPr>
        <w:rPr>
          <w:sz w:val="24"/>
          <w:szCs w:val="24"/>
        </w:rPr>
      </w:pPr>
      <w:r>
        <w:rPr>
          <w:sz w:val="24"/>
          <w:szCs w:val="24"/>
        </w:rPr>
        <w:t xml:space="preserve"> </w:t>
      </w:r>
    </w:p>
    <w:p w14:paraId="76AFEC6D" w14:textId="77777777" w:rsidR="001A5679" w:rsidRDefault="00107FE3">
      <w:pPr>
        <w:rPr>
          <w:sz w:val="24"/>
          <w:szCs w:val="24"/>
        </w:rPr>
      </w:pPr>
      <w:r>
        <w:rPr>
          <w:sz w:val="24"/>
          <w:szCs w:val="24"/>
        </w:rPr>
        <w:t xml:space="preserve"> </w:t>
      </w:r>
    </w:p>
    <w:p w14:paraId="560E079C" w14:textId="77777777" w:rsidR="001A5679" w:rsidRDefault="00107FE3">
      <w:pPr>
        <w:rPr>
          <w:sz w:val="24"/>
          <w:szCs w:val="24"/>
        </w:rPr>
      </w:pPr>
      <w:r>
        <w:rPr>
          <w:sz w:val="24"/>
          <w:szCs w:val="24"/>
        </w:rPr>
        <w:t>Moving forward, the program will continue to assess faculty and students’ experiences with this approach to assessment. We will also continue to offer professional development opportunities oriented around labor-based contract grading. Our offerings from A</w:t>
      </w:r>
      <w:r>
        <w:rPr>
          <w:sz w:val="24"/>
          <w:szCs w:val="24"/>
        </w:rPr>
        <w:t xml:space="preserve">Y 2021-2022 covered this topic extensively and are detailed below. </w:t>
      </w:r>
    </w:p>
    <w:p w14:paraId="7346C8CE" w14:textId="77777777" w:rsidR="001A5679" w:rsidRDefault="00107FE3">
      <w:pPr>
        <w:rPr>
          <w:sz w:val="24"/>
          <w:szCs w:val="24"/>
        </w:rPr>
      </w:pPr>
      <w:r>
        <w:rPr>
          <w:sz w:val="24"/>
          <w:szCs w:val="24"/>
        </w:rPr>
        <w:t xml:space="preserve"> </w:t>
      </w:r>
    </w:p>
    <w:p w14:paraId="7D927E91" w14:textId="77777777" w:rsidR="001A5679" w:rsidRDefault="00107FE3">
      <w:pPr>
        <w:rPr>
          <w:i/>
        </w:rPr>
      </w:pPr>
      <w:r>
        <w:rPr>
          <w:i/>
        </w:rPr>
        <w:t>New Versions of 106</w:t>
      </w:r>
    </w:p>
    <w:p w14:paraId="780E8B11" w14:textId="77777777" w:rsidR="001A5679" w:rsidRDefault="00107FE3">
      <w:pPr>
        <w:rPr>
          <w:sz w:val="24"/>
          <w:szCs w:val="24"/>
        </w:rPr>
      </w:pPr>
      <w:r>
        <w:rPr>
          <w:sz w:val="24"/>
          <w:szCs w:val="24"/>
        </w:rPr>
        <w:t xml:space="preserve">Two new approaches to WRIT 106 were piloted in Spring 2022, Writing &amp; Research and College Writing for Business Majors. </w:t>
      </w:r>
    </w:p>
    <w:p w14:paraId="60F9F7E5" w14:textId="77777777" w:rsidR="001A5679" w:rsidRDefault="001A5679"/>
    <w:p w14:paraId="70A7FB9B" w14:textId="77777777" w:rsidR="001A5679" w:rsidRDefault="00107FE3">
      <w:pPr>
        <w:rPr>
          <w:sz w:val="24"/>
          <w:szCs w:val="24"/>
        </w:rPr>
      </w:pPr>
      <w:r>
        <w:rPr>
          <w:sz w:val="24"/>
          <w:szCs w:val="24"/>
        </w:rPr>
        <w:t>We view “Writing and Research” as an opportu</w:t>
      </w:r>
      <w:r>
        <w:rPr>
          <w:sz w:val="24"/>
          <w:szCs w:val="24"/>
        </w:rPr>
        <w:t>nity for students to gain a strong foundation in research skills at the beginning of their college experience. This course</w:t>
      </w:r>
      <w:r>
        <w:rPr>
          <w:rFonts w:ascii="Lato" w:eastAsia="Lato" w:hAnsi="Lato" w:cs="Lato"/>
          <w:sz w:val="24"/>
          <w:szCs w:val="24"/>
        </w:rPr>
        <w:t xml:space="preserve"> </w:t>
      </w:r>
      <w:r>
        <w:rPr>
          <w:sz w:val="24"/>
          <w:szCs w:val="24"/>
        </w:rPr>
        <w:t>built on the basic writing strategies taught in College Writing I and extended the goal of helping students to become effective write</w:t>
      </w:r>
      <w:r>
        <w:rPr>
          <w:sz w:val="24"/>
          <w:szCs w:val="24"/>
        </w:rPr>
        <w:t>rs of intellectual arguments through a semester-long individual research project. Students wrote a proposal, conducted primary and secondary research, created an annotated bibliography, learned to synthesize sources, analyzed data, and wrote multiple draft</w:t>
      </w:r>
      <w:r>
        <w:rPr>
          <w:sz w:val="24"/>
          <w:szCs w:val="24"/>
        </w:rPr>
        <w:t xml:space="preserve">s of a </w:t>
      </w:r>
      <w:proofErr w:type="gramStart"/>
      <w:r>
        <w:rPr>
          <w:sz w:val="24"/>
          <w:szCs w:val="24"/>
        </w:rPr>
        <w:t>3000 word</w:t>
      </w:r>
      <w:proofErr w:type="gramEnd"/>
      <w:r>
        <w:rPr>
          <w:sz w:val="24"/>
          <w:szCs w:val="24"/>
        </w:rPr>
        <w:t xml:space="preserve"> (or more) research paper. Some faculty teaching these sections allowed students to craft their own topics based on their interests. Others focused the course around a central theme such as food subcultures or Covid-19 (among others) and al</w:t>
      </w:r>
      <w:r>
        <w:rPr>
          <w:sz w:val="24"/>
          <w:szCs w:val="24"/>
        </w:rPr>
        <w:t>lowed students to choose individual topics within the broader focus.</w:t>
      </w:r>
    </w:p>
    <w:p w14:paraId="776C6D54" w14:textId="77777777" w:rsidR="001A5679" w:rsidRDefault="001A5679">
      <w:pPr>
        <w:rPr>
          <w:sz w:val="24"/>
          <w:szCs w:val="24"/>
        </w:rPr>
      </w:pPr>
    </w:p>
    <w:p w14:paraId="15AB31D2" w14:textId="77777777" w:rsidR="001A5679" w:rsidRDefault="00107FE3">
      <w:pPr>
        <w:rPr>
          <w:sz w:val="24"/>
          <w:szCs w:val="24"/>
        </w:rPr>
      </w:pPr>
      <w:r>
        <w:rPr>
          <w:sz w:val="24"/>
          <w:szCs w:val="24"/>
        </w:rPr>
        <w:t xml:space="preserve">We also offered two special sections of WRIT 106 titled “Writing for Business Majors,” specifically designed for students from SBUS, and taught by </w:t>
      </w:r>
      <w:proofErr w:type="spellStart"/>
      <w:r>
        <w:rPr>
          <w:sz w:val="24"/>
          <w:szCs w:val="24"/>
        </w:rPr>
        <w:t>Neiha</w:t>
      </w:r>
      <w:proofErr w:type="spellEnd"/>
      <w:r>
        <w:rPr>
          <w:sz w:val="24"/>
          <w:szCs w:val="24"/>
        </w:rPr>
        <w:t xml:space="preserve"> Bhandari and Jazmine Thompson. In</w:t>
      </w:r>
      <w:r>
        <w:rPr>
          <w:sz w:val="24"/>
          <w:szCs w:val="24"/>
        </w:rPr>
        <w:t xml:space="preserve"> these sections, students worked on a variety of business writing tasks including crafting a professional identity through a self-profile, elevator pitch, and responses to interview questions; writing a comparative analysis mini-report; and writing a propo</w:t>
      </w:r>
      <w:r>
        <w:rPr>
          <w:sz w:val="24"/>
          <w:szCs w:val="24"/>
        </w:rPr>
        <w:t>sal, annotated bibliography, and recommendation report. Students left the course with a digital portfolio of their work. Throughout, students were asked to use data to tell stories, develop audience awareness in their writing, compose multimodally, work co</w:t>
      </w:r>
      <w:r>
        <w:rPr>
          <w:sz w:val="24"/>
          <w:szCs w:val="24"/>
        </w:rPr>
        <w:t xml:space="preserve">llaboratively, conduct methodically-sound research, and summarize information concisely. </w:t>
      </w:r>
    </w:p>
    <w:p w14:paraId="63A2F3F8" w14:textId="77777777" w:rsidR="001A5679" w:rsidRDefault="001A5679">
      <w:pPr>
        <w:rPr>
          <w:i/>
        </w:rPr>
      </w:pPr>
    </w:p>
    <w:p w14:paraId="7D765126" w14:textId="77777777" w:rsidR="001A5679" w:rsidRDefault="00107FE3">
      <w:r>
        <w:rPr>
          <w:i/>
        </w:rPr>
        <w:t xml:space="preserve">4-credit Sections of FYW </w:t>
      </w:r>
    </w:p>
    <w:p w14:paraId="3F1419C3" w14:textId="77777777" w:rsidR="001A5679" w:rsidRDefault="00107FE3">
      <w:pPr>
        <w:rPr>
          <w:sz w:val="24"/>
          <w:szCs w:val="24"/>
        </w:rPr>
      </w:pPr>
      <w:r>
        <w:rPr>
          <w:sz w:val="24"/>
          <w:szCs w:val="24"/>
        </w:rPr>
        <w:t>Our 4-credit sections of FYW follow a “stretch” co-requisite model, which is a nationally-recognized method of writing instruction. This mo</w:t>
      </w:r>
      <w:r>
        <w:rPr>
          <w:sz w:val="24"/>
          <w:szCs w:val="24"/>
        </w:rPr>
        <w:t>del dictates that with more time in class and with increased one-on-one instruction, struggling writers can make significant gains. In regular meetings during the year, 4-credit faculty meet and discuss pedagogy, troubleshoot issues, compare experiences, a</w:t>
      </w:r>
      <w:r>
        <w:rPr>
          <w:sz w:val="24"/>
          <w:szCs w:val="24"/>
        </w:rPr>
        <w:t xml:space="preserve">nd share best practices.  </w:t>
      </w:r>
    </w:p>
    <w:p w14:paraId="012D2A88" w14:textId="77777777" w:rsidR="001A5679" w:rsidRDefault="001A5679">
      <w:pPr>
        <w:rPr>
          <w:sz w:val="24"/>
          <w:szCs w:val="24"/>
        </w:rPr>
      </w:pPr>
    </w:p>
    <w:p w14:paraId="3CC54AF8" w14:textId="77777777" w:rsidR="001A5679" w:rsidRDefault="00107FE3">
      <w:pPr>
        <w:rPr>
          <w:sz w:val="24"/>
          <w:szCs w:val="24"/>
        </w:rPr>
      </w:pPr>
      <w:r>
        <w:rPr>
          <w:sz w:val="24"/>
          <w:szCs w:val="24"/>
        </w:rPr>
        <w:t>Students will be placed into the 4-credit sections in Fall 2022 according to GPA, in conjunction with the Office of Admissions. Previously, we had used the Freshman Index Score for this placement, but Admissions has found GPA al</w:t>
      </w:r>
      <w:r>
        <w:rPr>
          <w:sz w:val="24"/>
          <w:szCs w:val="24"/>
        </w:rPr>
        <w:t xml:space="preserve">one to be an equally reliable indicator. We anticipate having the same number of students qualify for the 4-credit classes as in years past. </w:t>
      </w:r>
    </w:p>
    <w:p w14:paraId="77D9E256" w14:textId="77777777" w:rsidR="001A5679" w:rsidRDefault="001A5679">
      <w:pPr>
        <w:rPr>
          <w:sz w:val="24"/>
          <w:szCs w:val="24"/>
        </w:rPr>
      </w:pPr>
    </w:p>
    <w:p w14:paraId="7CCCE52A" w14:textId="77777777" w:rsidR="001A5679" w:rsidRDefault="00107FE3">
      <w:pPr>
        <w:rPr>
          <w:b/>
          <w:sz w:val="24"/>
          <w:szCs w:val="24"/>
        </w:rPr>
      </w:pPr>
      <w:r>
        <w:rPr>
          <w:sz w:val="24"/>
          <w:szCs w:val="24"/>
        </w:rPr>
        <w:t>For Spring 2023 courses, all WRIT105 students will complete a self-assessment survey and a reflection assignment.</w:t>
      </w:r>
      <w:r>
        <w:rPr>
          <w:sz w:val="24"/>
          <w:szCs w:val="24"/>
        </w:rPr>
        <w:t xml:space="preserve"> The self-assessment encourages students to reflect on their writing experiences before registering for a spring semester class. Instructors will review the reflections and make decisions about students who might benefit from additional instruction in a 4-</w:t>
      </w:r>
      <w:r>
        <w:rPr>
          <w:sz w:val="24"/>
          <w:szCs w:val="24"/>
        </w:rPr>
        <w:t>credit course. Instructors will then submit student names to the Assistant Director, Liz Martin, and the students will be notified about their instructor’s recommendation and directed to register for the 4-credit course. Along with notification from the pr</w:t>
      </w:r>
      <w:r>
        <w:rPr>
          <w:sz w:val="24"/>
          <w:szCs w:val="24"/>
        </w:rPr>
        <w:t xml:space="preserve">ogram and individual instructors, FYW will also collaborate with the advising centers in each college by sharing a 4-credit course description, schedule, and the recommended/placed student names. Outreach from the program to the students </w:t>
      </w:r>
      <w:proofErr w:type="gramStart"/>
      <w:r>
        <w:rPr>
          <w:sz w:val="24"/>
          <w:szCs w:val="24"/>
        </w:rPr>
        <w:t>will  continue</w:t>
      </w:r>
      <w:proofErr w:type="gramEnd"/>
      <w:r>
        <w:rPr>
          <w:sz w:val="24"/>
          <w:szCs w:val="24"/>
        </w:rPr>
        <w:t xml:space="preserve"> thr</w:t>
      </w:r>
      <w:r>
        <w:rPr>
          <w:sz w:val="24"/>
          <w:szCs w:val="24"/>
        </w:rPr>
        <w:t xml:space="preserve">ough the registration period. </w:t>
      </w:r>
    </w:p>
    <w:p w14:paraId="5B807A10" w14:textId="77777777" w:rsidR="001A5679" w:rsidRDefault="001A5679">
      <w:pPr>
        <w:rPr>
          <w:i/>
        </w:rPr>
      </w:pPr>
    </w:p>
    <w:p w14:paraId="6AD790C0" w14:textId="77777777" w:rsidR="001A5679" w:rsidRDefault="00107FE3">
      <w:pPr>
        <w:rPr>
          <w:i/>
        </w:rPr>
      </w:pPr>
      <w:r>
        <w:rPr>
          <w:i/>
        </w:rPr>
        <w:t>Best Practices Document</w:t>
      </w:r>
    </w:p>
    <w:p w14:paraId="6AD906E4" w14:textId="77777777" w:rsidR="001A5679" w:rsidRDefault="00107FE3">
      <w:pPr>
        <w:rPr>
          <w:sz w:val="24"/>
          <w:szCs w:val="24"/>
        </w:rPr>
      </w:pPr>
      <w:r>
        <w:rPr>
          <w:sz w:val="24"/>
          <w:szCs w:val="24"/>
        </w:rPr>
        <w:t xml:space="preserve">Over the summer of 2021, an ad hoc committee consisting of </w:t>
      </w:r>
      <w:proofErr w:type="spellStart"/>
      <w:r>
        <w:rPr>
          <w:sz w:val="24"/>
          <w:szCs w:val="24"/>
        </w:rPr>
        <w:t>Shil</w:t>
      </w:r>
      <w:proofErr w:type="spellEnd"/>
      <w:r>
        <w:rPr>
          <w:sz w:val="24"/>
          <w:szCs w:val="24"/>
        </w:rPr>
        <w:t xml:space="preserve"> Sen, </w:t>
      </w:r>
      <w:proofErr w:type="spellStart"/>
      <w:r>
        <w:rPr>
          <w:sz w:val="24"/>
          <w:szCs w:val="24"/>
        </w:rPr>
        <w:t>Tavya</w:t>
      </w:r>
      <w:proofErr w:type="spellEnd"/>
      <w:r>
        <w:rPr>
          <w:sz w:val="24"/>
          <w:szCs w:val="24"/>
        </w:rPr>
        <w:t xml:space="preserve"> Jackson, Jackie Regan, and Liz Martin convened to create a best-practices document for leaving effective feedback on student </w:t>
      </w:r>
      <w:r>
        <w:rPr>
          <w:sz w:val="24"/>
          <w:szCs w:val="24"/>
        </w:rPr>
        <w:t>writing. This project grew out of a charge from the FYW Director to develop an easy-to-read document for veteran and new faculty members alike. The document aimed to provide instructors with suggestions to help them leave meaningful, concise, and timely fe</w:t>
      </w:r>
      <w:r>
        <w:rPr>
          <w:sz w:val="24"/>
          <w:szCs w:val="24"/>
        </w:rPr>
        <w:t xml:space="preserve">edback on student work. </w:t>
      </w:r>
    </w:p>
    <w:p w14:paraId="22EA3D75" w14:textId="77777777" w:rsidR="001A5679" w:rsidRDefault="001A5679">
      <w:pPr>
        <w:rPr>
          <w:sz w:val="24"/>
          <w:szCs w:val="24"/>
        </w:rPr>
      </w:pPr>
    </w:p>
    <w:p w14:paraId="0F448940" w14:textId="77777777" w:rsidR="001A5679" w:rsidRDefault="00107FE3">
      <w:pPr>
        <w:rPr>
          <w:sz w:val="24"/>
          <w:szCs w:val="24"/>
        </w:rPr>
      </w:pPr>
      <w:r>
        <w:rPr>
          <w:sz w:val="24"/>
          <w:szCs w:val="24"/>
        </w:rPr>
        <w:t>The document is divided into four sections. The first provides overall best-practices guidelines applicable to all feedback modalities, while the other three focus on specific feedback types, written, audio/screencast, and student</w:t>
      </w:r>
      <w:r>
        <w:rPr>
          <w:sz w:val="24"/>
          <w:szCs w:val="24"/>
        </w:rPr>
        <w:t xml:space="preserve"> conferences. Each specific section includes guidelines for best practices as well as timesaving tips. In creating this document, FYW instructors and students were surveyed in the Spring of 2021 by the ad hoc committee. Recommendations were also developed </w:t>
      </w:r>
      <w:r>
        <w:rPr>
          <w:sz w:val="24"/>
          <w:szCs w:val="24"/>
        </w:rPr>
        <w:t xml:space="preserve">from data gathered at MSU for Jackie Regan’s dissertation project and the committee members' own expertise. </w:t>
      </w:r>
    </w:p>
    <w:p w14:paraId="53520443" w14:textId="77777777" w:rsidR="001A5679" w:rsidRDefault="001A5679">
      <w:pPr>
        <w:rPr>
          <w:sz w:val="24"/>
          <w:szCs w:val="24"/>
        </w:rPr>
      </w:pPr>
    </w:p>
    <w:p w14:paraId="0C7A5808" w14:textId="77777777" w:rsidR="001A5679" w:rsidRDefault="001A5679">
      <w:pPr>
        <w:rPr>
          <w:sz w:val="24"/>
          <w:szCs w:val="24"/>
        </w:rPr>
      </w:pPr>
    </w:p>
    <w:p w14:paraId="4C8FEEA4" w14:textId="77777777" w:rsidR="001A5679" w:rsidRDefault="00107FE3">
      <w:pPr>
        <w:rPr>
          <w:b/>
          <w:sz w:val="24"/>
          <w:szCs w:val="24"/>
        </w:rPr>
      </w:pPr>
      <w:r>
        <w:rPr>
          <w:b/>
          <w:sz w:val="24"/>
          <w:szCs w:val="24"/>
        </w:rPr>
        <w:t>DFW Rate</w:t>
      </w:r>
    </w:p>
    <w:p w14:paraId="48C2EB36" w14:textId="77777777" w:rsidR="001A5679" w:rsidRDefault="00107FE3">
      <w:pPr>
        <w:rPr>
          <w:sz w:val="24"/>
          <w:szCs w:val="24"/>
        </w:rPr>
      </w:pPr>
      <w:r>
        <w:rPr>
          <w:sz w:val="24"/>
          <w:szCs w:val="24"/>
        </w:rPr>
        <w:t>With a particular eye to active reduction of the program’s DFW rate, we’ve continued to adjust the curriculum including the introduction</w:t>
      </w:r>
      <w:r>
        <w:rPr>
          <w:sz w:val="24"/>
          <w:szCs w:val="24"/>
        </w:rPr>
        <w:t xml:space="preserve"> of labor-based contract grading (see above).  Given the ongoing pandemic, an increase in the DFW rate for the Fall 2021 semester was experienced university-wide, posting the highest DFW rate on record in </w:t>
      </w:r>
      <w:r>
        <w:rPr>
          <w:sz w:val="24"/>
          <w:szCs w:val="24"/>
        </w:rPr>
        <w:lastRenderedPageBreak/>
        <w:t>the last nine years at 12.2% (see Figure A below an</w:t>
      </w:r>
      <w:r>
        <w:rPr>
          <w:sz w:val="24"/>
          <w:szCs w:val="24"/>
        </w:rPr>
        <w:t xml:space="preserve">d the Office of Faculty Advancement’s </w:t>
      </w:r>
      <w:hyperlink r:id="rId14" w:anchor="slide=id.g1165d7248ea_0_4">
        <w:r>
          <w:rPr>
            <w:color w:val="1155CC"/>
            <w:sz w:val="24"/>
            <w:szCs w:val="24"/>
            <w:u w:val="single"/>
          </w:rPr>
          <w:t>Grade Analysis, Fall 2021</w:t>
        </w:r>
      </w:hyperlink>
      <w:r>
        <w:rPr>
          <w:sz w:val="24"/>
          <w:szCs w:val="24"/>
        </w:rPr>
        <w:t>).</w:t>
      </w:r>
    </w:p>
    <w:p w14:paraId="78C64417" w14:textId="77777777" w:rsidR="001A5679" w:rsidRDefault="001A5679">
      <w:pPr>
        <w:rPr>
          <w:sz w:val="24"/>
          <w:szCs w:val="24"/>
        </w:rPr>
      </w:pPr>
    </w:p>
    <w:p w14:paraId="692F1F83" w14:textId="77777777" w:rsidR="001A5679" w:rsidRDefault="00107FE3">
      <w:pPr>
        <w:rPr>
          <w:sz w:val="24"/>
          <w:szCs w:val="24"/>
        </w:rPr>
      </w:pPr>
      <w:r>
        <w:rPr>
          <w:sz w:val="24"/>
          <w:szCs w:val="24"/>
        </w:rPr>
        <w:t xml:space="preserve">For the FYW program, the DFW rate for WRIT 105 in </w:t>
      </w:r>
      <w:r>
        <w:rPr>
          <w:sz w:val="24"/>
          <w:szCs w:val="24"/>
        </w:rPr>
        <w:t>Fall 2021 saw an increase, up to 17.16%, a more than 3.5% increase from the previous Fall (see Figure B).  The reason for this number is multi-layered and appears to primarily stem from the ongoing pandemic and the co-</w:t>
      </w:r>
      <w:proofErr w:type="spellStart"/>
      <w:r>
        <w:rPr>
          <w:sz w:val="24"/>
          <w:szCs w:val="24"/>
        </w:rPr>
        <w:t>occuring</w:t>
      </w:r>
      <w:proofErr w:type="spellEnd"/>
      <w:r>
        <w:rPr>
          <w:sz w:val="24"/>
          <w:szCs w:val="24"/>
        </w:rPr>
        <w:t xml:space="preserve"> challenges </w:t>
      </w:r>
      <w:proofErr w:type="gramStart"/>
      <w:r>
        <w:rPr>
          <w:sz w:val="24"/>
          <w:szCs w:val="24"/>
        </w:rPr>
        <w:t>that students</w:t>
      </w:r>
      <w:proofErr w:type="gramEnd"/>
      <w:r>
        <w:rPr>
          <w:sz w:val="24"/>
          <w:szCs w:val="24"/>
        </w:rPr>
        <w:t xml:space="preserve"> face</w:t>
      </w:r>
      <w:r>
        <w:rPr>
          <w:sz w:val="24"/>
          <w:szCs w:val="24"/>
        </w:rPr>
        <w:t>d during the semester. Currently, the department’s transition towards labor-based contract grading is an intentional approach to better support students and help reduce the DFW rate.</w:t>
      </w:r>
    </w:p>
    <w:p w14:paraId="4FD8D9DA" w14:textId="77777777" w:rsidR="001A5679" w:rsidRDefault="00107FE3">
      <w:pPr>
        <w:rPr>
          <w:b/>
          <w:sz w:val="24"/>
          <w:szCs w:val="24"/>
        </w:rPr>
      </w:pPr>
      <w:r>
        <w:rPr>
          <w:sz w:val="24"/>
          <w:szCs w:val="24"/>
        </w:rPr>
        <w:br/>
      </w:r>
      <w:r>
        <w:rPr>
          <w:b/>
          <w:sz w:val="24"/>
          <w:szCs w:val="24"/>
        </w:rPr>
        <w:t>FIGURE A: COMPARISON OF FALL WRIT DFW RATES vs UNIVERSITY-WIDE DFW</w:t>
      </w:r>
    </w:p>
    <w:p w14:paraId="4D2A644D" w14:textId="77777777" w:rsidR="001A5679" w:rsidRDefault="00107FE3">
      <w:pPr>
        <w:rPr>
          <w:b/>
          <w:sz w:val="24"/>
          <w:szCs w:val="24"/>
        </w:rPr>
      </w:pPr>
      <w:r>
        <w:rPr>
          <w:b/>
          <w:noProof/>
          <w:sz w:val="24"/>
          <w:szCs w:val="24"/>
        </w:rPr>
        <w:drawing>
          <wp:inline distT="114300" distB="114300" distL="114300" distR="114300" wp14:anchorId="36FBEB8A" wp14:editId="7987DF07">
            <wp:extent cx="5943600" cy="2882900"/>
            <wp:effectExtent l="0" t="0" r="0" b="0"/>
            <wp:docPr id="4"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5"/>
                    <a:srcRect/>
                    <a:stretch>
                      <a:fillRect/>
                    </a:stretch>
                  </pic:blipFill>
                  <pic:spPr>
                    <a:xfrm>
                      <a:off x="0" y="0"/>
                      <a:ext cx="5943600" cy="2882900"/>
                    </a:xfrm>
                    <a:prstGeom prst="rect">
                      <a:avLst/>
                    </a:prstGeom>
                    <a:ln/>
                  </pic:spPr>
                </pic:pic>
              </a:graphicData>
            </a:graphic>
          </wp:inline>
        </w:drawing>
      </w:r>
    </w:p>
    <w:p w14:paraId="6E56AB39" w14:textId="77777777" w:rsidR="001A5679" w:rsidRDefault="00107FE3">
      <w:pPr>
        <w:rPr>
          <w:b/>
          <w:sz w:val="24"/>
          <w:szCs w:val="24"/>
        </w:rPr>
      </w:pPr>
      <w:r>
        <w:rPr>
          <w:b/>
          <w:sz w:val="24"/>
          <w:szCs w:val="24"/>
        </w:rPr>
        <w:t>FIGURE B: FALL WRIT 105 DFW RATES</w:t>
      </w:r>
    </w:p>
    <w:p w14:paraId="0DF38DF7" w14:textId="77777777" w:rsidR="001A5679" w:rsidRDefault="00107FE3">
      <w:pPr>
        <w:rPr>
          <w:sz w:val="24"/>
          <w:szCs w:val="24"/>
        </w:rPr>
      </w:pPr>
      <w:r>
        <w:rPr>
          <w:noProof/>
          <w:sz w:val="24"/>
          <w:szCs w:val="24"/>
        </w:rPr>
        <w:lastRenderedPageBreak/>
        <w:drawing>
          <wp:inline distT="114300" distB="114300" distL="114300" distR="114300" wp14:anchorId="6C83FDD6" wp14:editId="1EADE2F8">
            <wp:extent cx="5943600" cy="3035300"/>
            <wp:effectExtent l="0" t="0" r="0" b="0"/>
            <wp:docPr id="5"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6"/>
                    <a:srcRect/>
                    <a:stretch>
                      <a:fillRect/>
                    </a:stretch>
                  </pic:blipFill>
                  <pic:spPr>
                    <a:xfrm>
                      <a:off x="0" y="0"/>
                      <a:ext cx="5943600" cy="3035300"/>
                    </a:xfrm>
                    <a:prstGeom prst="rect">
                      <a:avLst/>
                    </a:prstGeom>
                    <a:ln/>
                  </pic:spPr>
                </pic:pic>
              </a:graphicData>
            </a:graphic>
          </wp:inline>
        </w:drawing>
      </w:r>
    </w:p>
    <w:p w14:paraId="5399F1B4" w14:textId="77777777" w:rsidR="001A5679" w:rsidRDefault="001A5679">
      <w:pPr>
        <w:rPr>
          <w:b/>
          <w:sz w:val="24"/>
          <w:szCs w:val="24"/>
        </w:rPr>
      </w:pPr>
    </w:p>
    <w:p w14:paraId="53DA7057" w14:textId="77777777" w:rsidR="001A5679" w:rsidRDefault="00107FE3">
      <w:pPr>
        <w:rPr>
          <w:sz w:val="24"/>
          <w:szCs w:val="24"/>
        </w:rPr>
      </w:pPr>
      <w:r>
        <w:rPr>
          <w:sz w:val="24"/>
          <w:szCs w:val="24"/>
        </w:rPr>
        <w:t>In addition to tracking the overall DFW numbers, Tableau was used to revisit the demographic breakdown of race and gender for Fall 2021.  For males, a</w:t>
      </w:r>
      <w:r>
        <w:rPr>
          <w:sz w:val="24"/>
          <w:szCs w:val="24"/>
        </w:rPr>
        <w:t xml:space="preserve"> comparison chart from Fall 2020 and Fall 2021 (Figure A) is included below.  A chart for females is also included below for Fall 2021 (Figure B).  Note: according to Dr. Emily Issacs, OFA, the demographic of “Not Known” is increasingly being used, and tho</w:t>
      </w:r>
      <w:r>
        <w:rPr>
          <w:sz w:val="24"/>
          <w:szCs w:val="24"/>
        </w:rPr>
        <w:t xml:space="preserve">se percentages have been added to the charts </w:t>
      </w:r>
    </w:p>
    <w:p w14:paraId="7E148D4C" w14:textId="77777777" w:rsidR="001A5679" w:rsidRDefault="001A5679">
      <w:pPr>
        <w:rPr>
          <w:sz w:val="28"/>
          <w:szCs w:val="28"/>
        </w:rPr>
      </w:pPr>
    </w:p>
    <w:p w14:paraId="757D98B0" w14:textId="77777777" w:rsidR="001A5679" w:rsidRDefault="00107FE3">
      <w:pPr>
        <w:rPr>
          <w:sz w:val="24"/>
          <w:szCs w:val="24"/>
        </w:rPr>
      </w:pPr>
      <w:r>
        <w:rPr>
          <w:sz w:val="24"/>
          <w:szCs w:val="24"/>
        </w:rPr>
        <w:t>Figure A:</w:t>
      </w:r>
    </w:p>
    <w:tbl>
      <w:tblPr>
        <w:tblStyle w:val="a0"/>
        <w:tblW w:w="9030" w:type="dxa"/>
        <w:tblBorders>
          <w:top w:val="nil"/>
          <w:left w:val="nil"/>
          <w:bottom w:val="nil"/>
          <w:right w:val="nil"/>
          <w:insideH w:val="nil"/>
          <w:insideV w:val="nil"/>
        </w:tblBorders>
        <w:tblLayout w:type="fixed"/>
        <w:tblLook w:val="0600" w:firstRow="0" w:lastRow="0" w:firstColumn="0" w:lastColumn="0" w:noHBand="1" w:noVBand="1"/>
      </w:tblPr>
      <w:tblGrid>
        <w:gridCol w:w="3795"/>
        <w:gridCol w:w="2565"/>
        <w:gridCol w:w="2670"/>
      </w:tblGrid>
      <w:tr w:rsidR="001A5679" w14:paraId="19B408FB" w14:textId="77777777">
        <w:trPr>
          <w:trHeight w:val="780"/>
        </w:trPr>
        <w:tc>
          <w:tcPr>
            <w:tcW w:w="3795" w:type="dxa"/>
            <w:tcBorders>
              <w:top w:val="single" w:sz="7" w:space="0" w:color="000000"/>
              <w:left w:val="single" w:sz="7" w:space="0" w:color="000000"/>
              <w:bottom w:val="single" w:sz="7" w:space="0" w:color="CCCCCC"/>
              <w:right w:val="single" w:sz="7" w:space="0" w:color="CCCCCC"/>
            </w:tcBorders>
            <w:shd w:val="clear" w:color="auto" w:fill="4DD0E1"/>
            <w:tcMar>
              <w:top w:w="40" w:type="dxa"/>
              <w:left w:w="40" w:type="dxa"/>
              <w:bottom w:w="40" w:type="dxa"/>
              <w:right w:w="40" w:type="dxa"/>
            </w:tcMar>
            <w:vAlign w:val="bottom"/>
          </w:tcPr>
          <w:p w14:paraId="6E579058" w14:textId="77777777" w:rsidR="001A5679" w:rsidRDefault="00107FE3">
            <w:pPr>
              <w:widowControl w:val="0"/>
              <w:rPr>
                <w:sz w:val="20"/>
                <w:szCs w:val="20"/>
              </w:rPr>
            </w:pPr>
            <w:r>
              <w:rPr>
                <w:sz w:val="20"/>
                <w:szCs w:val="20"/>
              </w:rPr>
              <w:t>Demographics</w:t>
            </w:r>
          </w:p>
        </w:tc>
        <w:tc>
          <w:tcPr>
            <w:tcW w:w="2565" w:type="dxa"/>
            <w:tcBorders>
              <w:top w:val="single" w:sz="7" w:space="0" w:color="000000"/>
              <w:left w:val="single" w:sz="7" w:space="0" w:color="CCCCCC"/>
              <w:bottom w:val="single" w:sz="7" w:space="0" w:color="CCCCCC"/>
              <w:right w:val="single" w:sz="7" w:space="0" w:color="CCCCCC"/>
            </w:tcBorders>
            <w:shd w:val="clear" w:color="auto" w:fill="4DD0E1"/>
            <w:tcMar>
              <w:top w:w="40" w:type="dxa"/>
              <w:left w:w="40" w:type="dxa"/>
              <w:bottom w:w="40" w:type="dxa"/>
              <w:right w:w="40" w:type="dxa"/>
            </w:tcMar>
            <w:vAlign w:val="bottom"/>
          </w:tcPr>
          <w:p w14:paraId="30497C47" w14:textId="77777777" w:rsidR="001A5679" w:rsidRDefault="00107FE3">
            <w:pPr>
              <w:widowControl w:val="0"/>
              <w:rPr>
                <w:sz w:val="20"/>
                <w:szCs w:val="20"/>
              </w:rPr>
            </w:pPr>
            <w:r>
              <w:rPr>
                <w:sz w:val="20"/>
                <w:szCs w:val="20"/>
              </w:rPr>
              <w:t>WRIT 105 Fall 2020 DFW Rate</w:t>
            </w:r>
          </w:p>
        </w:tc>
        <w:tc>
          <w:tcPr>
            <w:tcW w:w="2670" w:type="dxa"/>
            <w:tcBorders>
              <w:top w:val="single" w:sz="7" w:space="0" w:color="000000"/>
              <w:left w:val="single" w:sz="7" w:space="0" w:color="CCCCCC"/>
              <w:bottom w:val="single" w:sz="7" w:space="0" w:color="CCCCCC"/>
              <w:right w:val="single" w:sz="7" w:space="0" w:color="000000"/>
            </w:tcBorders>
            <w:shd w:val="clear" w:color="auto" w:fill="4DD0E1"/>
            <w:tcMar>
              <w:top w:w="40" w:type="dxa"/>
              <w:left w:w="40" w:type="dxa"/>
              <w:bottom w:w="40" w:type="dxa"/>
              <w:right w:w="40" w:type="dxa"/>
            </w:tcMar>
            <w:vAlign w:val="bottom"/>
          </w:tcPr>
          <w:p w14:paraId="0E317076" w14:textId="77777777" w:rsidR="001A5679" w:rsidRDefault="00107FE3">
            <w:pPr>
              <w:widowControl w:val="0"/>
              <w:rPr>
                <w:sz w:val="20"/>
                <w:szCs w:val="20"/>
              </w:rPr>
            </w:pPr>
            <w:r>
              <w:rPr>
                <w:sz w:val="20"/>
                <w:szCs w:val="20"/>
              </w:rPr>
              <w:t>WRIT 105 Fall 2021 DFW Rate</w:t>
            </w:r>
          </w:p>
        </w:tc>
      </w:tr>
      <w:tr w:rsidR="001A5679" w14:paraId="0A2F876C" w14:textId="77777777">
        <w:trPr>
          <w:trHeight w:val="315"/>
        </w:trPr>
        <w:tc>
          <w:tcPr>
            <w:tcW w:w="3795" w:type="dxa"/>
            <w:tcBorders>
              <w:top w:val="single" w:sz="7" w:space="0" w:color="CCCCCC"/>
              <w:left w:val="single" w:sz="7" w:space="0" w:color="000000"/>
              <w:bottom w:val="single" w:sz="7" w:space="0" w:color="CCCCCC"/>
              <w:right w:val="single" w:sz="7" w:space="0" w:color="CCCCCC"/>
            </w:tcBorders>
            <w:shd w:val="clear" w:color="auto" w:fill="FFFFFF"/>
            <w:tcMar>
              <w:top w:w="40" w:type="dxa"/>
              <w:left w:w="40" w:type="dxa"/>
              <w:bottom w:w="40" w:type="dxa"/>
              <w:right w:w="40" w:type="dxa"/>
            </w:tcMar>
            <w:vAlign w:val="bottom"/>
          </w:tcPr>
          <w:p w14:paraId="2AC93BCF" w14:textId="77777777" w:rsidR="001A5679" w:rsidRDefault="00107FE3">
            <w:pPr>
              <w:widowControl w:val="0"/>
              <w:rPr>
                <w:sz w:val="20"/>
                <w:szCs w:val="20"/>
              </w:rPr>
            </w:pPr>
            <w:r>
              <w:rPr>
                <w:sz w:val="20"/>
                <w:szCs w:val="20"/>
              </w:rPr>
              <w:t>Black-African American Males</w:t>
            </w:r>
          </w:p>
        </w:tc>
        <w:tc>
          <w:tcPr>
            <w:tcW w:w="256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14:paraId="050837A3" w14:textId="77777777" w:rsidR="001A5679" w:rsidRDefault="00107FE3">
            <w:pPr>
              <w:widowControl w:val="0"/>
              <w:jc w:val="right"/>
              <w:rPr>
                <w:sz w:val="20"/>
                <w:szCs w:val="20"/>
              </w:rPr>
            </w:pPr>
            <w:r>
              <w:rPr>
                <w:sz w:val="20"/>
                <w:szCs w:val="20"/>
              </w:rPr>
              <w:t>26.20%</w:t>
            </w:r>
          </w:p>
        </w:tc>
        <w:tc>
          <w:tcPr>
            <w:tcW w:w="2670" w:type="dxa"/>
            <w:tcBorders>
              <w:top w:val="single" w:sz="7" w:space="0" w:color="CCCCCC"/>
              <w:left w:val="single" w:sz="7" w:space="0" w:color="CCCCCC"/>
              <w:bottom w:val="single" w:sz="7" w:space="0" w:color="CCCCCC"/>
              <w:right w:val="single" w:sz="7" w:space="0" w:color="000000"/>
            </w:tcBorders>
            <w:shd w:val="clear" w:color="auto" w:fill="FFFFFF"/>
            <w:tcMar>
              <w:top w:w="40" w:type="dxa"/>
              <w:left w:w="40" w:type="dxa"/>
              <w:bottom w:w="40" w:type="dxa"/>
              <w:right w:w="40" w:type="dxa"/>
            </w:tcMar>
            <w:vAlign w:val="bottom"/>
          </w:tcPr>
          <w:p w14:paraId="274B2DFA" w14:textId="77777777" w:rsidR="001A5679" w:rsidRDefault="00107FE3">
            <w:pPr>
              <w:widowControl w:val="0"/>
              <w:jc w:val="right"/>
              <w:rPr>
                <w:sz w:val="20"/>
                <w:szCs w:val="20"/>
              </w:rPr>
            </w:pPr>
            <w:r>
              <w:rPr>
                <w:sz w:val="20"/>
                <w:szCs w:val="20"/>
              </w:rPr>
              <w:t>26.00%</w:t>
            </w:r>
          </w:p>
        </w:tc>
      </w:tr>
      <w:tr w:rsidR="001A5679" w14:paraId="2B00590B" w14:textId="77777777">
        <w:trPr>
          <w:trHeight w:val="315"/>
        </w:trPr>
        <w:tc>
          <w:tcPr>
            <w:tcW w:w="3795" w:type="dxa"/>
            <w:tcBorders>
              <w:top w:val="single" w:sz="7" w:space="0" w:color="CCCCCC"/>
              <w:left w:val="single" w:sz="7" w:space="0" w:color="000000"/>
              <w:bottom w:val="single" w:sz="7" w:space="0" w:color="CCCCCC"/>
              <w:right w:val="single" w:sz="7" w:space="0" w:color="CCCCCC"/>
            </w:tcBorders>
            <w:shd w:val="clear" w:color="auto" w:fill="D2F3F7"/>
            <w:tcMar>
              <w:top w:w="40" w:type="dxa"/>
              <w:left w:w="40" w:type="dxa"/>
              <w:bottom w:w="40" w:type="dxa"/>
              <w:right w:w="40" w:type="dxa"/>
            </w:tcMar>
            <w:vAlign w:val="bottom"/>
          </w:tcPr>
          <w:p w14:paraId="5C6AE52B" w14:textId="77777777" w:rsidR="001A5679" w:rsidRDefault="00107FE3">
            <w:pPr>
              <w:widowControl w:val="0"/>
              <w:rPr>
                <w:sz w:val="20"/>
                <w:szCs w:val="20"/>
              </w:rPr>
            </w:pPr>
            <w:r>
              <w:rPr>
                <w:sz w:val="20"/>
                <w:szCs w:val="20"/>
              </w:rPr>
              <w:t>Hispanic-Latino Males</w:t>
            </w:r>
          </w:p>
        </w:tc>
        <w:tc>
          <w:tcPr>
            <w:tcW w:w="2565" w:type="dxa"/>
            <w:tcBorders>
              <w:top w:val="single" w:sz="7" w:space="0" w:color="CCCCCC"/>
              <w:left w:val="single" w:sz="7" w:space="0" w:color="CCCCCC"/>
              <w:bottom w:val="single" w:sz="7" w:space="0" w:color="CCCCCC"/>
              <w:right w:val="single" w:sz="7" w:space="0" w:color="CCCCCC"/>
            </w:tcBorders>
            <w:shd w:val="clear" w:color="auto" w:fill="D2F3F7"/>
            <w:tcMar>
              <w:top w:w="40" w:type="dxa"/>
              <w:left w:w="40" w:type="dxa"/>
              <w:bottom w:w="40" w:type="dxa"/>
              <w:right w:w="40" w:type="dxa"/>
            </w:tcMar>
            <w:vAlign w:val="bottom"/>
          </w:tcPr>
          <w:p w14:paraId="0BE67F89" w14:textId="77777777" w:rsidR="001A5679" w:rsidRDefault="00107FE3">
            <w:pPr>
              <w:widowControl w:val="0"/>
              <w:jc w:val="right"/>
              <w:rPr>
                <w:sz w:val="20"/>
                <w:szCs w:val="20"/>
              </w:rPr>
            </w:pPr>
            <w:r>
              <w:rPr>
                <w:sz w:val="20"/>
                <w:szCs w:val="20"/>
              </w:rPr>
              <w:t>23.60%</w:t>
            </w:r>
          </w:p>
        </w:tc>
        <w:tc>
          <w:tcPr>
            <w:tcW w:w="2670" w:type="dxa"/>
            <w:tcBorders>
              <w:top w:val="single" w:sz="7" w:space="0" w:color="CCCCCC"/>
              <w:left w:val="single" w:sz="7" w:space="0" w:color="CCCCCC"/>
              <w:bottom w:val="single" w:sz="7" w:space="0" w:color="CCCCCC"/>
              <w:right w:val="single" w:sz="7" w:space="0" w:color="000000"/>
            </w:tcBorders>
            <w:shd w:val="clear" w:color="auto" w:fill="D2F3F7"/>
            <w:tcMar>
              <w:top w:w="40" w:type="dxa"/>
              <w:left w:w="40" w:type="dxa"/>
              <w:bottom w:w="40" w:type="dxa"/>
              <w:right w:w="40" w:type="dxa"/>
            </w:tcMar>
            <w:vAlign w:val="bottom"/>
          </w:tcPr>
          <w:p w14:paraId="24B7673D" w14:textId="77777777" w:rsidR="001A5679" w:rsidRDefault="00107FE3">
            <w:pPr>
              <w:widowControl w:val="0"/>
              <w:jc w:val="right"/>
              <w:rPr>
                <w:sz w:val="20"/>
                <w:szCs w:val="20"/>
              </w:rPr>
            </w:pPr>
            <w:r>
              <w:rPr>
                <w:sz w:val="20"/>
                <w:szCs w:val="20"/>
              </w:rPr>
              <w:t>18.10%</w:t>
            </w:r>
          </w:p>
        </w:tc>
      </w:tr>
      <w:tr w:rsidR="001A5679" w14:paraId="0215D62E" w14:textId="77777777">
        <w:trPr>
          <w:trHeight w:val="315"/>
        </w:trPr>
        <w:tc>
          <w:tcPr>
            <w:tcW w:w="3795" w:type="dxa"/>
            <w:tcBorders>
              <w:top w:val="single" w:sz="7" w:space="0" w:color="CCCCCC"/>
              <w:left w:val="single" w:sz="7" w:space="0" w:color="000000"/>
              <w:bottom w:val="single" w:sz="7" w:space="0" w:color="CCCCCC"/>
              <w:right w:val="single" w:sz="7" w:space="0" w:color="CCCCCC"/>
            </w:tcBorders>
            <w:shd w:val="clear" w:color="auto" w:fill="FFFFFF"/>
            <w:tcMar>
              <w:top w:w="40" w:type="dxa"/>
              <w:left w:w="40" w:type="dxa"/>
              <w:bottom w:w="40" w:type="dxa"/>
              <w:right w:w="40" w:type="dxa"/>
            </w:tcMar>
            <w:vAlign w:val="bottom"/>
          </w:tcPr>
          <w:p w14:paraId="4764B238" w14:textId="77777777" w:rsidR="001A5679" w:rsidRDefault="00107FE3">
            <w:pPr>
              <w:widowControl w:val="0"/>
              <w:rPr>
                <w:sz w:val="20"/>
                <w:szCs w:val="20"/>
              </w:rPr>
            </w:pPr>
            <w:r>
              <w:rPr>
                <w:sz w:val="20"/>
                <w:szCs w:val="20"/>
              </w:rPr>
              <w:t>White Males</w:t>
            </w:r>
          </w:p>
        </w:tc>
        <w:tc>
          <w:tcPr>
            <w:tcW w:w="2565" w:type="dxa"/>
            <w:tcBorders>
              <w:top w:val="single" w:sz="7" w:space="0" w:color="CCCCCC"/>
              <w:left w:val="single" w:sz="7" w:space="0" w:color="CCCCCC"/>
              <w:bottom w:val="single" w:sz="7" w:space="0" w:color="CCCCCC"/>
              <w:right w:val="single" w:sz="7" w:space="0" w:color="CCCCCC"/>
            </w:tcBorders>
            <w:shd w:val="clear" w:color="auto" w:fill="FFFFFF"/>
            <w:tcMar>
              <w:top w:w="40" w:type="dxa"/>
              <w:left w:w="40" w:type="dxa"/>
              <w:bottom w:w="40" w:type="dxa"/>
              <w:right w:w="40" w:type="dxa"/>
            </w:tcMar>
            <w:vAlign w:val="bottom"/>
          </w:tcPr>
          <w:p w14:paraId="7D15E329" w14:textId="77777777" w:rsidR="001A5679" w:rsidRDefault="00107FE3">
            <w:pPr>
              <w:widowControl w:val="0"/>
              <w:jc w:val="right"/>
              <w:rPr>
                <w:sz w:val="20"/>
                <w:szCs w:val="20"/>
              </w:rPr>
            </w:pPr>
            <w:r>
              <w:rPr>
                <w:sz w:val="20"/>
                <w:szCs w:val="20"/>
              </w:rPr>
              <w:t>11.50%</w:t>
            </w:r>
          </w:p>
        </w:tc>
        <w:tc>
          <w:tcPr>
            <w:tcW w:w="2670" w:type="dxa"/>
            <w:tcBorders>
              <w:top w:val="single" w:sz="7" w:space="0" w:color="CCCCCC"/>
              <w:left w:val="single" w:sz="7" w:space="0" w:color="CCCCCC"/>
              <w:bottom w:val="single" w:sz="7" w:space="0" w:color="CCCCCC"/>
              <w:right w:val="single" w:sz="7" w:space="0" w:color="000000"/>
            </w:tcBorders>
            <w:shd w:val="clear" w:color="auto" w:fill="FFFFFF"/>
            <w:tcMar>
              <w:top w:w="40" w:type="dxa"/>
              <w:left w:w="40" w:type="dxa"/>
              <w:bottom w:w="40" w:type="dxa"/>
              <w:right w:w="40" w:type="dxa"/>
            </w:tcMar>
            <w:vAlign w:val="bottom"/>
          </w:tcPr>
          <w:p w14:paraId="4BB88D69" w14:textId="77777777" w:rsidR="001A5679" w:rsidRDefault="00107FE3">
            <w:pPr>
              <w:widowControl w:val="0"/>
              <w:jc w:val="right"/>
              <w:rPr>
                <w:sz w:val="20"/>
                <w:szCs w:val="20"/>
              </w:rPr>
            </w:pPr>
            <w:r>
              <w:rPr>
                <w:sz w:val="20"/>
                <w:szCs w:val="20"/>
              </w:rPr>
              <w:t>13.40%</w:t>
            </w:r>
          </w:p>
        </w:tc>
      </w:tr>
      <w:tr w:rsidR="001A5679" w14:paraId="17ACEA28" w14:textId="77777777">
        <w:trPr>
          <w:trHeight w:val="315"/>
        </w:trPr>
        <w:tc>
          <w:tcPr>
            <w:tcW w:w="3795" w:type="dxa"/>
            <w:tcBorders>
              <w:top w:val="single" w:sz="7" w:space="0" w:color="CCCCCC"/>
              <w:left w:val="single" w:sz="7" w:space="0" w:color="000000"/>
              <w:bottom w:val="single" w:sz="7" w:space="0" w:color="CCCCCC"/>
              <w:right w:val="single" w:sz="7" w:space="0" w:color="CCCCCC"/>
            </w:tcBorders>
            <w:shd w:val="clear" w:color="auto" w:fill="D2F3F7"/>
            <w:tcMar>
              <w:top w:w="40" w:type="dxa"/>
              <w:left w:w="40" w:type="dxa"/>
              <w:bottom w:w="40" w:type="dxa"/>
              <w:right w:w="40" w:type="dxa"/>
            </w:tcMar>
            <w:vAlign w:val="bottom"/>
          </w:tcPr>
          <w:p w14:paraId="1AC65ECE" w14:textId="77777777" w:rsidR="001A5679" w:rsidRDefault="00107FE3">
            <w:pPr>
              <w:widowControl w:val="0"/>
              <w:rPr>
                <w:sz w:val="20"/>
                <w:szCs w:val="20"/>
              </w:rPr>
            </w:pPr>
            <w:r>
              <w:rPr>
                <w:sz w:val="20"/>
                <w:szCs w:val="20"/>
              </w:rPr>
              <w:t>Not Known Males</w:t>
            </w:r>
          </w:p>
        </w:tc>
        <w:tc>
          <w:tcPr>
            <w:tcW w:w="2565" w:type="dxa"/>
            <w:tcBorders>
              <w:top w:val="single" w:sz="7" w:space="0" w:color="CCCCCC"/>
              <w:left w:val="single" w:sz="7" w:space="0" w:color="CCCCCC"/>
              <w:bottom w:val="single" w:sz="7" w:space="0" w:color="CCCCCC"/>
              <w:right w:val="single" w:sz="7" w:space="0" w:color="CCCCCC"/>
            </w:tcBorders>
            <w:shd w:val="clear" w:color="auto" w:fill="D2F3F7"/>
            <w:tcMar>
              <w:top w:w="40" w:type="dxa"/>
              <w:left w:w="40" w:type="dxa"/>
              <w:bottom w:w="40" w:type="dxa"/>
              <w:right w:w="40" w:type="dxa"/>
            </w:tcMar>
            <w:vAlign w:val="bottom"/>
          </w:tcPr>
          <w:p w14:paraId="472FD23D" w14:textId="77777777" w:rsidR="001A5679" w:rsidRDefault="001A5679">
            <w:pPr>
              <w:widowControl w:val="0"/>
              <w:rPr>
                <w:sz w:val="20"/>
                <w:szCs w:val="20"/>
              </w:rPr>
            </w:pPr>
          </w:p>
        </w:tc>
        <w:tc>
          <w:tcPr>
            <w:tcW w:w="2670" w:type="dxa"/>
            <w:tcBorders>
              <w:top w:val="single" w:sz="7" w:space="0" w:color="CCCCCC"/>
              <w:left w:val="single" w:sz="7" w:space="0" w:color="CCCCCC"/>
              <w:bottom w:val="single" w:sz="7" w:space="0" w:color="CCCCCC"/>
              <w:right w:val="single" w:sz="7" w:space="0" w:color="000000"/>
            </w:tcBorders>
            <w:shd w:val="clear" w:color="auto" w:fill="D2F3F7"/>
            <w:tcMar>
              <w:top w:w="40" w:type="dxa"/>
              <w:left w:w="40" w:type="dxa"/>
              <w:bottom w:w="40" w:type="dxa"/>
              <w:right w:w="40" w:type="dxa"/>
            </w:tcMar>
            <w:vAlign w:val="bottom"/>
          </w:tcPr>
          <w:p w14:paraId="10A150FE" w14:textId="77777777" w:rsidR="001A5679" w:rsidRDefault="00107FE3">
            <w:pPr>
              <w:widowControl w:val="0"/>
              <w:jc w:val="right"/>
              <w:rPr>
                <w:sz w:val="20"/>
                <w:szCs w:val="20"/>
              </w:rPr>
            </w:pPr>
            <w:r>
              <w:rPr>
                <w:sz w:val="20"/>
                <w:szCs w:val="20"/>
              </w:rPr>
              <w:t>21.30%</w:t>
            </w:r>
          </w:p>
        </w:tc>
      </w:tr>
      <w:tr w:rsidR="001A5679" w14:paraId="137AF9C8" w14:textId="77777777">
        <w:trPr>
          <w:trHeight w:val="315"/>
        </w:trPr>
        <w:tc>
          <w:tcPr>
            <w:tcW w:w="3795" w:type="dxa"/>
            <w:tcBorders>
              <w:top w:val="single" w:sz="7" w:space="0" w:color="CCCCCC"/>
              <w:left w:val="single" w:sz="7" w:space="0" w:color="000000"/>
              <w:bottom w:val="single" w:sz="7" w:space="0" w:color="000000"/>
              <w:right w:val="single" w:sz="7" w:space="0" w:color="CCCCCC"/>
            </w:tcBorders>
            <w:shd w:val="clear" w:color="auto" w:fill="FFFFFF"/>
            <w:tcMar>
              <w:top w:w="40" w:type="dxa"/>
              <w:left w:w="40" w:type="dxa"/>
              <w:bottom w:w="40" w:type="dxa"/>
              <w:right w:w="40" w:type="dxa"/>
            </w:tcMar>
            <w:vAlign w:val="bottom"/>
          </w:tcPr>
          <w:p w14:paraId="5F9FB7C0" w14:textId="77777777" w:rsidR="001A5679" w:rsidRDefault="00107FE3">
            <w:pPr>
              <w:widowControl w:val="0"/>
              <w:rPr>
                <w:sz w:val="20"/>
                <w:szCs w:val="20"/>
              </w:rPr>
            </w:pPr>
            <w:r>
              <w:rPr>
                <w:sz w:val="20"/>
                <w:szCs w:val="20"/>
              </w:rPr>
              <w:t>OVERALL</w:t>
            </w:r>
          </w:p>
        </w:tc>
        <w:tc>
          <w:tcPr>
            <w:tcW w:w="2565" w:type="dxa"/>
            <w:tcBorders>
              <w:top w:val="single" w:sz="7" w:space="0" w:color="CCCCCC"/>
              <w:left w:val="single" w:sz="7" w:space="0" w:color="CCCCCC"/>
              <w:bottom w:val="single" w:sz="7" w:space="0" w:color="000000"/>
              <w:right w:val="single" w:sz="7" w:space="0" w:color="CCCCCC"/>
            </w:tcBorders>
            <w:shd w:val="clear" w:color="auto" w:fill="FFFFFF"/>
            <w:tcMar>
              <w:top w:w="40" w:type="dxa"/>
              <w:left w:w="40" w:type="dxa"/>
              <w:bottom w:w="40" w:type="dxa"/>
              <w:right w:w="40" w:type="dxa"/>
            </w:tcMar>
            <w:vAlign w:val="bottom"/>
          </w:tcPr>
          <w:p w14:paraId="0D593BEF" w14:textId="77777777" w:rsidR="001A5679" w:rsidRDefault="00107FE3">
            <w:pPr>
              <w:widowControl w:val="0"/>
              <w:jc w:val="right"/>
              <w:rPr>
                <w:sz w:val="20"/>
                <w:szCs w:val="20"/>
              </w:rPr>
            </w:pPr>
            <w:r>
              <w:rPr>
                <w:sz w:val="20"/>
                <w:szCs w:val="20"/>
              </w:rPr>
              <w:t>13.50%</w:t>
            </w:r>
          </w:p>
        </w:tc>
        <w:tc>
          <w:tcPr>
            <w:tcW w:w="2670"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35D0AFA" w14:textId="77777777" w:rsidR="001A5679" w:rsidRDefault="00107FE3">
            <w:pPr>
              <w:widowControl w:val="0"/>
              <w:jc w:val="right"/>
              <w:rPr>
                <w:sz w:val="20"/>
                <w:szCs w:val="20"/>
              </w:rPr>
            </w:pPr>
            <w:r>
              <w:rPr>
                <w:sz w:val="20"/>
                <w:szCs w:val="20"/>
              </w:rPr>
              <w:t>17.16%</w:t>
            </w:r>
          </w:p>
        </w:tc>
      </w:tr>
    </w:tbl>
    <w:p w14:paraId="6FCD22C7" w14:textId="77777777" w:rsidR="001A5679" w:rsidRDefault="001A5679">
      <w:pPr>
        <w:rPr>
          <w:sz w:val="24"/>
          <w:szCs w:val="24"/>
        </w:rPr>
      </w:pPr>
    </w:p>
    <w:p w14:paraId="2BBC242E" w14:textId="77777777" w:rsidR="001A5679" w:rsidRDefault="001A5679">
      <w:pPr>
        <w:rPr>
          <w:sz w:val="24"/>
          <w:szCs w:val="24"/>
        </w:rPr>
      </w:pPr>
    </w:p>
    <w:p w14:paraId="6BC4C429" w14:textId="77777777" w:rsidR="001A5679" w:rsidRDefault="00107FE3">
      <w:pPr>
        <w:rPr>
          <w:sz w:val="24"/>
          <w:szCs w:val="24"/>
        </w:rPr>
      </w:pPr>
      <w:r>
        <w:rPr>
          <w:sz w:val="24"/>
          <w:szCs w:val="24"/>
        </w:rPr>
        <w:t>Figure B:</w:t>
      </w:r>
    </w:p>
    <w:tbl>
      <w:tblPr>
        <w:tblStyle w:val="a1"/>
        <w:tblW w:w="6360" w:type="dxa"/>
        <w:tblBorders>
          <w:top w:val="nil"/>
          <w:left w:val="nil"/>
          <w:bottom w:val="nil"/>
          <w:right w:val="nil"/>
          <w:insideH w:val="nil"/>
          <w:insideV w:val="nil"/>
        </w:tblBorders>
        <w:tblLayout w:type="fixed"/>
        <w:tblLook w:val="0600" w:firstRow="0" w:lastRow="0" w:firstColumn="0" w:lastColumn="0" w:noHBand="1" w:noVBand="1"/>
      </w:tblPr>
      <w:tblGrid>
        <w:gridCol w:w="3825"/>
        <w:gridCol w:w="2535"/>
      </w:tblGrid>
      <w:tr w:rsidR="001A5679" w14:paraId="6284193D" w14:textId="77777777">
        <w:trPr>
          <w:trHeight w:val="780"/>
        </w:trPr>
        <w:tc>
          <w:tcPr>
            <w:tcW w:w="3825" w:type="dxa"/>
            <w:tcBorders>
              <w:top w:val="single" w:sz="7" w:space="0" w:color="000000"/>
              <w:left w:val="single" w:sz="7" w:space="0" w:color="000000"/>
              <w:bottom w:val="single" w:sz="7" w:space="0" w:color="000000"/>
              <w:right w:val="single" w:sz="7" w:space="0" w:color="000000"/>
            </w:tcBorders>
            <w:shd w:val="clear" w:color="auto" w:fill="63D297"/>
            <w:tcMar>
              <w:top w:w="40" w:type="dxa"/>
              <w:left w:w="40" w:type="dxa"/>
              <w:bottom w:w="40" w:type="dxa"/>
              <w:right w:w="40" w:type="dxa"/>
            </w:tcMar>
            <w:vAlign w:val="bottom"/>
          </w:tcPr>
          <w:p w14:paraId="76A655B9" w14:textId="77777777" w:rsidR="001A5679" w:rsidRDefault="00107FE3">
            <w:pPr>
              <w:widowControl w:val="0"/>
              <w:rPr>
                <w:sz w:val="20"/>
                <w:szCs w:val="20"/>
              </w:rPr>
            </w:pPr>
            <w:r>
              <w:rPr>
                <w:sz w:val="20"/>
                <w:szCs w:val="20"/>
              </w:rPr>
              <w:t>Demographics</w:t>
            </w:r>
          </w:p>
        </w:tc>
        <w:tc>
          <w:tcPr>
            <w:tcW w:w="2535" w:type="dxa"/>
            <w:tcBorders>
              <w:top w:val="single" w:sz="7" w:space="0" w:color="000000"/>
              <w:left w:val="single" w:sz="7" w:space="0" w:color="CCCCCC"/>
              <w:bottom w:val="single" w:sz="7" w:space="0" w:color="000000"/>
              <w:right w:val="single" w:sz="7" w:space="0" w:color="000000"/>
            </w:tcBorders>
            <w:shd w:val="clear" w:color="auto" w:fill="63D297"/>
            <w:tcMar>
              <w:top w:w="40" w:type="dxa"/>
              <w:left w:w="40" w:type="dxa"/>
              <w:bottom w:w="40" w:type="dxa"/>
              <w:right w:w="40" w:type="dxa"/>
            </w:tcMar>
            <w:vAlign w:val="bottom"/>
          </w:tcPr>
          <w:p w14:paraId="66338BB9" w14:textId="77777777" w:rsidR="001A5679" w:rsidRDefault="00107FE3">
            <w:pPr>
              <w:widowControl w:val="0"/>
              <w:rPr>
                <w:sz w:val="20"/>
                <w:szCs w:val="20"/>
              </w:rPr>
            </w:pPr>
            <w:r>
              <w:rPr>
                <w:sz w:val="20"/>
                <w:szCs w:val="20"/>
              </w:rPr>
              <w:t>WRIT 105 Fall 2021 DFW Rate</w:t>
            </w:r>
          </w:p>
        </w:tc>
      </w:tr>
      <w:tr w:rsidR="001A5679" w14:paraId="1D5D094E" w14:textId="77777777">
        <w:trPr>
          <w:trHeight w:val="315"/>
        </w:trPr>
        <w:tc>
          <w:tcPr>
            <w:tcW w:w="3825"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bottom"/>
          </w:tcPr>
          <w:p w14:paraId="00C91B9F" w14:textId="77777777" w:rsidR="001A5679" w:rsidRDefault="00107FE3">
            <w:pPr>
              <w:widowControl w:val="0"/>
              <w:rPr>
                <w:sz w:val="20"/>
                <w:szCs w:val="20"/>
              </w:rPr>
            </w:pPr>
            <w:r>
              <w:rPr>
                <w:sz w:val="20"/>
                <w:szCs w:val="20"/>
              </w:rPr>
              <w:t>Black-African American Females</w:t>
            </w:r>
          </w:p>
        </w:tc>
        <w:tc>
          <w:tcPr>
            <w:tcW w:w="253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3E3549CD" w14:textId="77777777" w:rsidR="001A5679" w:rsidRDefault="00107FE3">
            <w:pPr>
              <w:widowControl w:val="0"/>
              <w:jc w:val="right"/>
              <w:rPr>
                <w:sz w:val="20"/>
                <w:szCs w:val="20"/>
              </w:rPr>
            </w:pPr>
            <w:r>
              <w:rPr>
                <w:sz w:val="20"/>
                <w:szCs w:val="20"/>
              </w:rPr>
              <w:t>23.80%</w:t>
            </w:r>
          </w:p>
        </w:tc>
      </w:tr>
      <w:tr w:rsidR="001A5679" w14:paraId="197BE385" w14:textId="77777777">
        <w:trPr>
          <w:trHeight w:val="315"/>
        </w:trPr>
        <w:tc>
          <w:tcPr>
            <w:tcW w:w="3825" w:type="dxa"/>
            <w:tcBorders>
              <w:top w:val="single" w:sz="7" w:space="0" w:color="CCCCCC"/>
              <w:left w:val="single" w:sz="7" w:space="0" w:color="000000"/>
              <w:bottom w:val="single" w:sz="7" w:space="0" w:color="000000"/>
              <w:right w:val="single" w:sz="7" w:space="0" w:color="000000"/>
            </w:tcBorders>
            <w:shd w:val="clear" w:color="auto" w:fill="E7F9EF"/>
            <w:tcMar>
              <w:top w:w="40" w:type="dxa"/>
              <w:left w:w="40" w:type="dxa"/>
              <w:bottom w:w="40" w:type="dxa"/>
              <w:right w:w="40" w:type="dxa"/>
            </w:tcMar>
            <w:vAlign w:val="bottom"/>
          </w:tcPr>
          <w:p w14:paraId="153AAD63" w14:textId="77777777" w:rsidR="001A5679" w:rsidRDefault="00107FE3">
            <w:pPr>
              <w:widowControl w:val="0"/>
              <w:rPr>
                <w:sz w:val="20"/>
                <w:szCs w:val="20"/>
              </w:rPr>
            </w:pPr>
            <w:r>
              <w:rPr>
                <w:sz w:val="20"/>
                <w:szCs w:val="20"/>
              </w:rPr>
              <w:lastRenderedPageBreak/>
              <w:t>Hispanic-Latino Females</w:t>
            </w:r>
          </w:p>
        </w:tc>
        <w:tc>
          <w:tcPr>
            <w:tcW w:w="2535" w:type="dxa"/>
            <w:tcBorders>
              <w:top w:val="single" w:sz="7" w:space="0" w:color="CCCCCC"/>
              <w:left w:val="single" w:sz="7" w:space="0" w:color="CCCCCC"/>
              <w:bottom w:val="single" w:sz="7" w:space="0" w:color="000000"/>
              <w:right w:val="single" w:sz="7" w:space="0" w:color="000000"/>
            </w:tcBorders>
            <w:shd w:val="clear" w:color="auto" w:fill="E7F9EF"/>
            <w:tcMar>
              <w:top w:w="40" w:type="dxa"/>
              <w:left w:w="40" w:type="dxa"/>
              <w:bottom w:w="40" w:type="dxa"/>
              <w:right w:w="40" w:type="dxa"/>
            </w:tcMar>
            <w:vAlign w:val="bottom"/>
          </w:tcPr>
          <w:p w14:paraId="071A5D59" w14:textId="77777777" w:rsidR="001A5679" w:rsidRDefault="00107FE3">
            <w:pPr>
              <w:widowControl w:val="0"/>
              <w:jc w:val="right"/>
              <w:rPr>
                <w:sz w:val="20"/>
                <w:szCs w:val="20"/>
              </w:rPr>
            </w:pPr>
            <w:r>
              <w:rPr>
                <w:sz w:val="20"/>
                <w:szCs w:val="20"/>
              </w:rPr>
              <w:t>18.30%</w:t>
            </w:r>
          </w:p>
        </w:tc>
      </w:tr>
      <w:tr w:rsidR="001A5679" w14:paraId="6660EEDC" w14:textId="77777777">
        <w:trPr>
          <w:trHeight w:val="315"/>
        </w:trPr>
        <w:tc>
          <w:tcPr>
            <w:tcW w:w="3825"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bottom"/>
          </w:tcPr>
          <w:p w14:paraId="40D42408" w14:textId="77777777" w:rsidR="001A5679" w:rsidRDefault="00107FE3">
            <w:pPr>
              <w:widowControl w:val="0"/>
              <w:rPr>
                <w:sz w:val="20"/>
                <w:szCs w:val="20"/>
              </w:rPr>
            </w:pPr>
            <w:r>
              <w:rPr>
                <w:sz w:val="20"/>
                <w:szCs w:val="20"/>
              </w:rPr>
              <w:t>White Females</w:t>
            </w:r>
          </w:p>
        </w:tc>
        <w:tc>
          <w:tcPr>
            <w:tcW w:w="253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25772205" w14:textId="77777777" w:rsidR="001A5679" w:rsidRDefault="00107FE3">
            <w:pPr>
              <w:widowControl w:val="0"/>
              <w:jc w:val="right"/>
              <w:rPr>
                <w:sz w:val="20"/>
                <w:szCs w:val="20"/>
              </w:rPr>
            </w:pPr>
            <w:r>
              <w:rPr>
                <w:sz w:val="20"/>
                <w:szCs w:val="20"/>
              </w:rPr>
              <w:t>10.00%</w:t>
            </w:r>
          </w:p>
        </w:tc>
      </w:tr>
      <w:tr w:rsidR="001A5679" w14:paraId="74D130E7" w14:textId="77777777">
        <w:trPr>
          <w:trHeight w:val="315"/>
        </w:trPr>
        <w:tc>
          <w:tcPr>
            <w:tcW w:w="3825" w:type="dxa"/>
            <w:tcBorders>
              <w:top w:val="single" w:sz="7" w:space="0" w:color="CCCCCC"/>
              <w:left w:val="single" w:sz="7" w:space="0" w:color="000000"/>
              <w:bottom w:val="single" w:sz="7" w:space="0" w:color="000000"/>
              <w:right w:val="single" w:sz="7" w:space="0" w:color="000000"/>
            </w:tcBorders>
            <w:shd w:val="clear" w:color="auto" w:fill="E7F9EF"/>
            <w:tcMar>
              <w:top w:w="40" w:type="dxa"/>
              <w:left w:w="40" w:type="dxa"/>
              <w:bottom w:w="40" w:type="dxa"/>
              <w:right w:w="40" w:type="dxa"/>
            </w:tcMar>
            <w:vAlign w:val="bottom"/>
          </w:tcPr>
          <w:p w14:paraId="2FB84DFB" w14:textId="77777777" w:rsidR="001A5679" w:rsidRDefault="00107FE3">
            <w:pPr>
              <w:widowControl w:val="0"/>
              <w:rPr>
                <w:sz w:val="20"/>
                <w:szCs w:val="20"/>
              </w:rPr>
            </w:pPr>
            <w:r>
              <w:rPr>
                <w:sz w:val="20"/>
                <w:szCs w:val="20"/>
              </w:rPr>
              <w:t>Not Known Females</w:t>
            </w:r>
          </w:p>
        </w:tc>
        <w:tc>
          <w:tcPr>
            <w:tcW w:w="2535" w:type="dxa"/>
            <w:tcBorders>
              <w:top w:val="single" w:sz="7" w:space="0" w:color="CCCCCC"/>
              <w:left w:val="single" w:sz="7" w:space="0" w:color="CCCCCC"/>
              <w:bottom w:val="single" w:sz="7" w:space="0" w:color="000000"/>
              <w:right w:val="single" w:sz="7" w:space="0" w:color="000000"/>
            </w:tcBorders>
            <w:shd w:val="clear" w:color="auto" w:fill="E7F9EF"/>
            <w:tcMar>
              <w:top w:w="40" w:type="dxa"/>
              <w:left w:w="40" w:type="dxa"/>
              <w:bottom w:w="40" w:type="dxa"/>
              <w:right w:w="40" w:type="dxa"/>
            </w:tcMar>
            <w:vAlign w:val="bottom"/>
          </w:tcPr>
          <w:p w14:paraId="4C946AC7" w14:textId="77777777" w:rsidR="001A5679" w:rsidRDefault="00107FE3">
            <w:pPr>
              <w:widowControl w:val="0"/>
              <w:jc w:val="right"/>
              <w:rPr>
                <w:sz w:val="20"/>
                <w:szCs w:val="20"/>
              </w:rPr>
            </w:pPr>
            <w:r>
              <w:rPr>
                <w:sz w:val="20"/>
                <w:szCs w:val="20"/>
              </w:rPr>
              <w:t>16.10%</w:t>
            </w:r>
          </w:p>
        </w:tc>
      </w:tr>
      <w:tr w:rsidR="001A5679" w14:paraId="225E29A4" w14:textId="77777777">
        <w:trPr>
          <w:trHeight w:val="315"/>
        </w:trPr>
        <w:tc>
          <w:tcPr>
            <w:tcW w:w="3825" w:type="dxa"/>
            <w:tcBorders>
              <w:top w:val="single" w:sz="7" w:space="0" w:color="CCCCCC"/>
              <w:left w:val="single" w:sz="7" w:space="0" w:color="000000"/>
              <w:bottom w:val="single" w:sz="7" w:space="0" w:color="000000"/>
              <w:right w:val="single" w:sz="7" w:space="0" w:color="000000"/>
            </w:tcBorders>
            <w:shd w:val="clear" w:color="auto" w:fill="FFFFFF"/>
            <w:tcMar>
              <w:top w:w="40" w:type="dxa"/>
              <w:left w:w="40" w:type="dxa"/>
              <w:bottom w:w="40" w:type="dxa"/>
              <w:right w:w="40" w:type="dxa"/>
            </w:tcMar>
            <w:vAlign w:val="bottom"/>
          </w:tcPr>
          <w:p w14:paraId="184DFB3E" w14:textId="77777777" w:rsidR="001A5679" w:rsidRDefault="00107FE3">
            <w:pPr>
              <w:widowControl w:val="0"/>
              <w:rPr>
                <w:sz w:val="20"/>
                <w:szCs w:val="20"/>
              </w:rPr>
            </w:pPr>
            <w:r>
              <w:rPr>
                <w:sz w:val="20"/>
                <w:szCs w:val="20"/>
              </w:rPr>
              <w:t>OVERALL</w:t>
            </w:r>
          </w:p>
        </w:tc>
        <w:tc>
          <w:tcPr>
            <w:tcW w:w="2535" w:type="dxa"/>
            <w:tcBorders>
              <w:top w:val="single" w:sz="7" w:space="0" w:color="CCCCCC"/>
              <w:left w:val="single" w:sz="7" w:space="0" w:color="CCCCCC"/>
              <w:bottom w:val="single" w:sz="7" w:space="0" w:color="000000"/>
              <w:right w:val="single" w:sz="7" w:space="0" w:color="000000"/>
            </w:tcBorders>
            <w:shd w:val="clear" w:color="auto" w:fill="FFFFFF"/>
            <w:tcMar>
              <w:top w:w="40" w:type="dxa"/>
              <w:left w:w="40" w:type="dxa"/>
              <w:bottom w:w="40" w:type="dxa"/>
              <w:right w:w="40" w:type="dxa"/>
            </w:tcMar>
            <w:vAlign w:val="bottom"/>
          </w:tcPr>
          <w:p w14:paraId="02AC2D9A" w14:textId="77777777" w:rsidR="001A5679" w:rsidRDefault="00107FE3">
            <w:pPr>
              <w:widowControl w:val="0"/>
              <w:jc w:val="right"/>
              <w:rPr>
                <w:sz w:val="20"/>
                <w:szCs w:val="20"/>
              </w:rPr>
            </w:pPr>
            <w:r>
              <w:rPr>
                <w:sz w:val="20"/>
                <w:szCs w:val="20"/>
              </w:rPr>
              <w:t>17.61%</w:t>
            </w:r>
          </w:p>
        </w:tc>
      </w:tr>
    </w:tbl>
    <w:p w14:paraId="11703101" w14:textId="77777777" w:rsidR="001A5679" w:rsidRDefault="001A5679">
      <w:pPr>
        <w:rPr>
          <w:sz w:val="24"/>
          <w:szCs w:val="24"/>
        </w:rPr>
      </w:pPr>
    </w:p>
    <w:p w14:paraId="1814B53A" w14:textId="77777777" w:rsidR="001A5679" w:rsidRDefault="00107FE3">
      <w:pPr>
        <w:rPr>
          <w:sz w:val="24"/>
          <w:szCs w:val="24"/>
        </w:rPr>
      </w:pPr>
      <w:r>
        <w:rPr>
          <w:sz w:val="24"/>
          <w:szCs w:val="24"/>
        </w:rPr>
        <w:t>The FYW program is continuing to adjust curriculum, rework grading practices (including labor-based contract grading) and revisit pedagogy to find ways to better support FYW students of color, as mentioned above.</w:t>
      </w:r>
    </w:p>
    <w:p w14:paraId="6D793EF2" w14:textId="77777777" w:rsidR="001A5679" w:rsidRDefault="001A5679">
      <w:pPr>
        <w:rPr>
          <w:sz w:val="24"/>
          <w:szCs w:val="24"/>
        </w:rPr>
      </w:pPr>
    </w:p>
    <w:p w14:paraId="5F70B1B0" w14:textId="77777777" w:rsidR="001A5679" w:rsidRDefault="001A5679">
      <w:pPr>
        <w:rPr>
          <w:sz w:val="24"/>
          <w:szCs w:val="24"/>
        </w:rPr>
      </w:pPr>
    </w:p>
    <w:p w14:paraId="015D9CCF" w14:textId="77777777" w:rsidR="001A5679" w:rsidRDefault="00107FE3">
      <w:pPr>
        <w:rPr>
          <w:b/>
          <w:sz w:val="24"/>
          <w:szCs w:val="24"/>
        </w:rPr>
      </w:pPr>
      <w:r>
        <w:rPr>
          <w:b/>
          <w:sz w:val="24"/>
          <w:szCs w:val="24"/>
        </w:rPr>
        <w:t>Delivery Formats</w:t>
      </w:r>
    </w:p>
    <w:p w14:paraId="7F556BF1" w14:textId="77777777" w:rsidR="001A5679" w:rsidRDefault="00107FE3">
      <w:pPr>
        <w:rPr>
          <w:sz w:val="24"/>
          <w:szCs w:val="24"/>
        </w:rPr>
      </w:pPr>
      <w:r>
        <w:rPr>
          <w:sz w:val="24"/>
          <w:szCs w:val="24"/>
        </w:rPr>
        <w:t>Traditional First Year W</w:t>
      </w:r>
      <w:r>
        <w:rPr>
          <w:sz w:val="24"/>
          <w:szCs w:val="24"/>
        </w:rPr>
        <w:t xml:space="preserve">riting courses offer a mixture of small group discussion, peer review, workshops, conferences, and in-class reading and writing. Traditional course models make up the bulk of the program's offerings. Like all </w:t>
      </w:r>
      <w:proofErr w:type="gramStart"/>
      <w:r>
        <w:rPr>
          <w:sz w:val="24"/>
          <w:szCs w:val="24"/>
        </w:rPr>
        <w:t>first year</w:t>
      </w:r>
      <w:proofErr w:type="gramEnd"/>
      <w:r>
        <w:rPr>
          <w:sz w:val="24"/>
          <w:szCs w:val="24"/>
        </w:rPr>
        <w:t xml:space="preserve"> writing courses, they are designed t</w:t>
      </w:r>
      <w:r>
        <w:rPr>
          <w:sz w:val="24"/>
          <w:szCs w:val="24"/>
        </w:rPr>
        <w:t>o advance the standard learning goals of the program.</w:t>
      </w:r>
    </w:p>
    <w:p w14:paraId="0B1AE5FB" w14:textId="77777777" w:rsidR="001A5679" w:rsidRDefault="001A5679">
      <w:pPr>
        <w:rPr>
          <w:sz w:val="24"/>
          <w:szCs w:val="24"/>
        </w:rPr>
      </w:pPr>
    </w:p>
    <w:p w14:paraId="21F57CB7" w14:textId="77777777" w:rsidR="001A5679" w:rsidRDefault="00107FE3">
      <w:pPr>
        <w:rPr>
          <w:sz w:val="24"/>
          <w:szCs w:val="24"/>
        </w:rPr>
      </w:pPr>
      <w:r>
        <w:rPr>
          <w:sz w:val="24"/>
          <w:szCs w:val="24"/>
        </w:rPr>
        <w:t>Likewise, hybrid and online courses are oriented around the program’s learning goals. Approaches to hybrid and online instruction are informed by the work of a faculty hybrid/online committee. This pas</w:t>
      </w:r>
      <w:r>
        <w:rPr>
          <w:sz w:val="24"/>
          <w:szCs w:val="24"/>
        </w:rPr>
        <w:t xml:space="preserve">t year the committee came up with a plan for how to increase student participation and attendance in these sections. The committee will then pilot these approaches in the fall.  </w:t>
      </w:r>
    </w:p>
    <w:p w14:paraId="61BE4A9A" w14:textId="77777777" w:rsidR="001A5679" w:rsidRDefault="001A5679">
      <w:pPr>
        <w:rPr>
          <w:sz w:val="24"/>
          <w:szCs w:val="24"/>
        </w:rPr>
      </w:pPr>
    </w:p>
    <w:p w14:paraId="5C40D2C8" w14:textId="77777777" w:rsidR="001A5679" w:rsidRDefault="00107FE3">
      <w:pPr>
        <w:rPr>
          <w:sz w:val="24"/>
          <w:szCs w:val="24"/>
        </w:rPr>
      </w:pPr>
      <w:r>
        <w:rPr>
          <w:sz w:val="24"/>
          <w:szCs w:val="24"/>
          <w:highlight w:val="white"/>
        </w:rPr>
        <w:t>4-credit sections of WRIT 105/106 offer an additional 50 minutes of instruct</w:t>
      </w:r>
      <w:r>
        <w:rPr>
          <w:sz w:val="24"/>
          <w:szCs w:val="24"/>
          <w:highlight w:val="white"/>
        </w:rPr>
        <w:t xml:space="preserve">ion per week. Known as the “stretch” model of co-requisite writing instruction, this approach to teaching students who need additional practice with writing is nationally recognized as being effective with this student population. This model dictates that </w:t>
      </w:r>
      <w:r>
        <w:rPr>
          <w:sz w:val="24"/>
          <w:szCs w:val="24"/>
          <w:highlight w:val="white"/>
        </w:rPr>
        <w:t>the curriculum remains the same as the 3-credit sections, and that the additional classroom time is spent by having students work on their ongoing writing projects while the instructor conferences with students and answers their questions. This added works</w:t>
      </w:r>
      <w:r>
        <w:rPr>
          <w:sz w:val="24"/>
          <w:szCs w:val="24"/>
          <w:highlight w:val="white"/>
        </w:rPr>
        <w:t xml:space="preserve">hop time helps students keep pace with their peers in the 3-credit sections. </w:t>
      </w:r>
    </w:p>
    <w:p w14:paraId="3DE31E85" w14:textId="77777777" w:rsidR="001A5679" w:rsidRDefault="001A5679">
      <w:pPr>
        <w:spacing w:after="80"/>
        <w:rPr>
          <w:b/>
          <w:sz w:val="24"/>
          <w:szCs w:val="24"/>
        </w:rPr>
      </w:pPr>
    </w:p>
    <w:p w14:paraId="4D16A251" w14:textId="77777777" w:rsidR="001A5679" w:rsidRDefault="00107FE3">
      <w:pPr>
        <w:rPr>
          <w:b/>
          <w:sz w:val="24"/>
          <w:szCs w:val="24"/>
        </w:rPr>
      </w:pPr>
      <w:r>
        <w:rPr>
          <w:b/>
          <w:sz w:val="24"/>
          <w:szCs w:val="24"/>
        </w:rPr>
        <w:t>Advising</w:t>
      </w:r>
    </w:p>
    <w:p w14:paraId="785DDAA2" w14:textId="77777777" w:rsidR="001A5679" w:rsidRDefault="00107FE3">
      <w:pPr>
        <w:rPr>
          <w:sz w:val="24"/>
          <w:szCs w:val="24"/>
        </w:rPr>
      </w:pPr>
      <w:r>
        <w:rPr>
          <w:sz w:val="24"/>
          <w:szCs w:val="24"/>
        </w:rPr>
        <w:t>First-year students seek advisement for several issues, including: evaluation of courses</w:t>
      </w:r>
    </w:p>
    <w:p w14:paraId="4399778E" w14:textId="77777777" w:rsidR="001A5679" w:rsidRDefault="00107FE3">
      <w:pPr>
        <w:rPr>
          <w:sz w:val="24"/>
          <w:szCs w:val="24"/>
        </w:rPr>
      </w:pPr>
      <w:r>
        <w:rPr>
          <w:sz w:val="24"/>
          <w:szCs w:val="24"/>
        </w:rPr>
        <w:t>taken at other universities; concern about an instructor; appeal of a plagiaris</w:t>
      </w:r>
      <w:r>
        <w:rPr>
          <w:sz w:val="24"/>
          <w:szCs w:val="24"/>
        </w:rPr>
        <w:t>m charge;</w:t>
      </w:r>
    </w:p>
    <w:p w14:paraId="718C626B" w14:textId="77777777" w:rsidR="001A5679" w:rsidRDefault="00107FE3">
      <w:pPr>
        <w:rPr>
          <w:sz w:val="24"/>
          <w:szCs w:val="24"/>
        </w:rPr>
      </w:pPr>
      <w:r>
        <w:rPr>
          <w:sz w:val="24"/>
          <w:szCs w:val="24"/>
        </w:rPr>
        <w:t>grade grievances; and placement in writing courses. The FYW administration maintains</w:t>
      </w:r>
    </w:p>
    <w:p w14:paraId="31A888ED" w14:textId="77777777" w:rsidR="001A5679" w:rsidRDefault="00107FE3">
      <w:pPr>
        <w:rPr>
          <w:sz w:val="24"/>
          <w:szCs w:val="24"/>
        </w:rPr>
      </w:pPr>
      <w:r>
        <w:rPr>
          <w:sz w:val="24"/>
          <w:szCs w:val="24"/>
        </w:rPr>
        <w:t>office hours each week: the associate director is available on a standard professional staff schedule and the faculty director keeps weekly office hours and appointments by request of students and faculty. Both correspond with students via email to meet th</w:t>
      </w:r>
      <w:r>
        <w:rPr>
          <w:sz w:val="24"/>
          <w:szCs w:val="24"/>
        </w:rPr>
        <w:t xml:space="preserve">e demand. The program partners with the Dean of Students’ office on academic honesty </w:t>
      </w:r>
      <w:r>
        <w:rPr>
          <w:sz w:val="24"/>
          <w:szCs w:val="24"/>
        </w:rPr>
        <w:lastRenderedPageBreak/>
        <w:t>and grade appeal issues as needed. The program asks that students follow a process that involves meeting with the instructor before progressing through administrative appe</w:t>
      </w:r>
      <w:r>
        <w:rPr>
          <w:sz w:val="24"/>
          <w:szCs w:val="24"/>
        </w:rPr>
        <w:t>als; most issues are resolved on the programmatic level and do not require Dean level involvement. The faculty director also works regularly with Counseling and Psychological Services (CAPS), and the Director of the Disability Resource Center to address st</w:t>
      </w:r>
      <w:r>
        <w:rPr>
          <w:sz w:val="24"/>
          <w:szCs w:val="24"/>
        </w:rPr>
        <w:t>udent needs.</w:t>
      </w:r>
    </w:p>
    <w:p w14:paraId="2999AEDC" w14:textId="77777777" w:rsidR="001A5679" w:rsidRDefault="00107FE3">
      <w:pPr>
        <w:rPr>
          <w:b/>
          <w:sz w:val="24"/>
          <w:szCs w:val="24"/>
        </w:rPr>
      </w:pPr>
      <w:r>
        <w:rPr>
          <w:b/>
          <w:sz w:val="24"/>
          <w:szCs w:val="24"/>
        </w:rPr>
        <w:t xml:space="preserve"> </w:t>
      </w:r>
    </w:p>
    <w:p w14:paraId="07D601B2" w14:textId="77777777" w:rsidR="001A5679" w:rsidRDefault="00107FE3">
      <w:pPr>
        <w:rPr>
          <w:b/>
          <w:sz w:val="24"/>
          <w:szCs w:val="24"/>
        </w:rPr>
      </w:pPr>
      <w:r>
        <w:rPr>
          <w:sz w:val="24"/>
          <w:szCs w:val="24"/>
        </w:rPr>
        <w:t xml:space="preserve">The director meets frequently with faculty who ask for consultation on a variety of issues including curricular choices, responses to student drafts, student attendance issues, and other concerns. </w:t>
      </w:r>
    </w:p>
    <w:p w14:paraId="380BBFFD" w14:textId="77777777" w:rsidR="001A5679" w:rsidRDefault="001A5679">
      <w:pPr>
        <w:rPr>
          <w:sz w:val="24"/>
          <w:szCs w:val="24"/>
        </w:rPr>
      </w:pPr>
    </w:p>
    <w:p w14:paraId="35D11AD6" w14:textId="77777777" w:rsidR="001A5679" w:rsidRDefault="001A5679">
      <w:pPr>
        <w:rPr>
          <w:sz w:val="24"/>
          <w:szCs w:val="24"/>
        </w:rPr>
      </w:pPr>
    </w:p>
    <w:p w14:paraId="31FF59FC" w14:textId="77777777" w:rsidR="001A5679" w:rsidRDefault="00107FE3">
      <w:pPr>
        <w:rPr>
          <w:b/>
          <w:sz w:val="24"/>
          <w:szCs w:val="24"/>
        </w:rPr>
      </w:pPr>
      <w:r>
        <w:rPr>
          <w:b/>
          <w:sz w:val="24"/>
          <w:szCs w:val="24"/>
        </w:rPr>
        <w:t xml:space="preserve">Professional Development </w:t>
      </w:r>
    </w:p>
    <w:p w14:paraId="2C2BF503" w14:textId="77777777" w:rsidR="001A5679" w:rsidRDefault="00107FE3">
      <w:pPr>
        <w:rPr>
          <w:sz w:val="24"/>
          <w:szCs w:val="24"/>
        </w:rPr>
      </w:pPr>
      <w:r>
        <w:rPr>
          <w:sz w:val="24"/>
          <w:szCs w:val="24"/>
        </w:rPr>
        <w:t>The program hel</w:t>
      </w:r>
      <w:r>
        <w:rPr>
          <w:sz w:val="24"/>
          <w:szCs w:val="24"/>
        </w:rPr>
        <w:t>d a professional development session devoted to contract grading, facilitated by adjunct faculty member Susan Wright, in September 2021. Additionally, the program devoted a day at the end of the school year devoted to several topics, contract grading among</w:t>
      </w:r>
      <w:r>
        <w:rPr>
          <w:sz w:val="24"/>
          <w:szCs w:val="24"/>
        </w:rPr>
        <w:t xml:space="preserve"> them:</w:t>
      </w:r>
    </w:p>
    <w:p w14:paraId="2D632D1D" w14:textId="77777777" w:rsidR="001A5679" w:rsidRDefault="00107FE3">
      <w:pPr>
        <w:numPr>
          <w:ilvl w:val="0"/>
          <w:numId w:val="7"/>
        </w:numPr>
        <w:rPr>
          <w:sz w:val="24"/>
          <w:szCs w:val="24"/>
        </w:rPr>
      </w:pPr>
      <w:r>
        <w:rPr>
          <w:sz w:val="24"/>
          <w:szCs w:val="24"/>
        </w:rPr>
        <w:t>Struggles from the academic year and how we might move forward</w:t>
      </w:r>
    </w:p>
    <w:p w14:paraId="50C66DC7" w14:textId="77777777" w:rsidR="001A5679" w:rsidRDefault="00107FE3">
      <w:pPr>
        <w:numPr>
          <w:ilvl w:val="0"/>
          <w:numId w:val="7"/>
        </w:numPr>
        <w:rPr>
          <w:sz w:val="24"/>
          <w:szCs w:val="24"/>
        </w:rPr>
      </w:pPr>
      <w:r>
        <w:rPr>
          <w:sz w:val="24"/>
          <w:szCs w:val="24"/>
        </w:rPr>
        <w:t>Decolonizing our assessment criteria</w:t>
      </w:r>
    </w:p>
    <w:p w14:paraId="676E46A1" w14:textId="77777777" w:rsidR="001A5679" w:rsidRDefault="00107FE3">
      <w:pPr>
        <w:numPr>
          <w:ilvl w:val="0"/>
          <w:numId w:val="7"/>
        </w:numPr>
        <w:rPr>
          <w:sz w:val="24"/>
          <w:szCs w:val="24"/>
        </w:rPr>
      </w:pPr>
      <w:r>
        <w:rPr>
          <w:sz w:val="24"/>
          <w:szCs w:val="24"/>
        </w:rPr>
        <w:t>Drafting new questions for our student course surveys</w:t>
      </w:r>
    </w:p>
    <w:p w14:paraId="0C987871" w14:textId="77777777" w:rsidR="001A5679" w:rsidRDefault="00107FE3">
      <w:pPr>
        <w:numPr>
          <w:ilvl w:val="0"/>
          <w:numId w:val="7"/>
        </w:numPr>
        <w:rPr>
          <w:sz w:val="24"/>
          <w:szCs w:val="24"/>
        </w:rPr>
      </w:pPr>
      <w:r>
        <w:rPr>
          <w:sz w:val="24"/>
          <w:szCs w:val="24"/>
        </w:rPr>
        <w:t>Research-based approaches to WRIT 106</w:t>
      </w:r>
    </w:p>
    <w:p w14:paraId="50513462" w14:textId="77777777" w:rsidR="001A5679" w:rsidRDefault="00107FE3">
      <w:pPr>
        <w:numPr>
          <w:ilvl w:val="0"/>
          <w:numId w:val="7"/>
        </w:numPr>
        <w:rPr>
          <w:sz w:val="24"/>
          <w:szCs w:val="24"/>
        </w:rPr>
      </w:pPr>
      <w:r>
        <w:rPr>
          <w:sz w:val="24"/>
          <w:szCs w:val="24"/>
        </w:rPr>
        <w:t>Labor based grading contracts</w:t>
      </w:r>
    </w:p>
    <w:p w14:paraId="56536952" w14:textId="77777777" w:rsidR="001A5679" w:rsidRDefault="001A5679">
      <w:pPr>
        <w:rPr>
          <w:sz w:val="24"/>
          <w:szCs w:val="24"/>
        </w:rPr>
      </w:pPr>
    </w:p>
    <w:p w14:paraId="58FC40D6" w14:textId="77777777" w:rsidR="001A5679" w:rsidRDefault="001A5679">
      <w:pPr>
        <w:rPr>
          <w:sz w:val="24"/>
          <w:szCs w:val="24"/>
        </w:rPr>
      </w:pPr>
    </w:p>
    <w:p w14:paraId="6050279C" w14:textId="77777777" w:rsidR="001A5679" w:rsidRDefault="00107FE3">
      <w:pPr>
        <w:rPr>
          <w:b/>
          <w:sz w:val="24"/>
          <w:szCs w:val="24"/>
        </w:rPr>
      </w:pPr>
      <w:r>
        <w:rPr>
          <w:b/>
          <w:sz w:val="24"/>
          <w:szCs w:val="24"/>
        </w:rPr>
        <w:t>University Outreach/Initi</w:t>
      </w:r>
      <w:r>
        <w:rPr>
          <w:b/>
          <w:sz w:val="24"/>
          <w:szCs w:val="24"/>
        </w:rPr>
        <w:t>atives</w:t>
      </w:r>
    </w:p>
    <w:p w14:paraId="7E0C6BA7" w14:textId="77777777" w:rsidR="001A5679" w:rsidRDefault="00107FE3">
      <w:pPr>
        <w:rPr>
          <w:sz w:val="24"/>
          <w:szCs w:val="24"/>
        </w:rPr>
      </w:pPr>
      <w:r>
        <w:rPr>
          <w:sz w:val="24"/>
          <w:szCs w:val="24"/>
        </w:rPr>
        <w:t xml:space="preserve">The First Year Writing program always seeks to be good partners with other units and initiatives around campus. Representatives from the program participated in a variety of collaborations this past academic year. </w:t>
      </w:r>
    </w:p>
    <w:p w14:paraId="3D8AD9A8" w14:textId="77777777" w:rsidR="001A5679" w:rsidRDefault="00107FE3">
      <w:pPr>
        <w:numPr>
          <w:ilvl w:val="0"/>
          <w:numId w:val="1"/>
        </w:numPr>
        <w:rPr>
          <w:sz w:val="24"/>
          <w:szCs w:val="24"/>
        </w:rPr>
      </w:pPr>
      <w:r>
        <w:rPr>
          <w:sz w:val="24"/>
          <w:szCs w:val="24"/>
        </w:rPr>
        <w:t>Adjunct faculty member Susan Wrigh</w:t>
      </w:r>
      <w:r>
        <w:rPr>
          <w:sz w:val="24"/>
          <w:szCs w:val="24"/>
        </w:rPr>
        <w:t xml:space="preserve">t and Caroline Dadas collaborated on a presentation for OFA over the winter term, talking about their experiences incorporating labor-based contract grading in the classroom. </w:t>
      </w:r>
    </w:p>
    <w:p w14:paraId="12CCE2C4" w14:textId="77777777" w:rsidR="001A5679" w:rsidRDefault="00107FE3">
      <w:pPr>
        <w:numPr>
          <w:ilvl w:val="0"/>
          <w:numId w:val="1"/>
        </w:numPr>
        <w:rPr>
          <w:sz w:val="24"/>
          <w:szCs w:val="24"/>
        </w:rPr>
      </w:pPr>
      <w:r>
        <w:rPr>
          <w:sz w:val="24"/>
          <w:szCs w:val="24"/>
        </w:rPr>
        <w:t xml:space="preserve">In February 2022, Liz Martin and Caroline Dadas sat on an ITDS panel devoted to </w:t>
      </w:r>
      <w:r>
        <w:rPr>
          <w:sz w:val="24"/>
          <w:szCs w:val="24"/>
        </w:rPr>
        <w:t xml:space="preserve">academic honesty as part of their </w:t>
      </w:r>
      <w:hyperlink r:id="rId17">
        <w:r>
          <w:rPr>
            <w:color w:val="222222"/>
            <w:sz w:val="24"/>
            <w:szCs w:val="24"/>
          </w:rPr>
          <w:t>Practices and Engaging Instructional Technologies Virtual Conference</w:t>
        </w:r>
      </w:hyperlink>
      <w:r>
        <w:rPr>
          <w:sz w:val="24"/>
          <w:szCs w:val="24"/>
        </w:rPr>
        <w:t xml:space="preserve">. This presentation focused on ways to prevent dishonesty by focusing on assignment prompts, reflective writing, and other strategies. </w:t>
      </w:r>
    </w:p>
    <w:p w14:paraId="59243FC9" w14:textId="77777777" w:rsidR="001A5679" w:rsidRDefault="00107FE3">
      <w:pPr>
        <w:numPr>
          <w:ilvl w:val="0"/>
          <w:numId w:val="1"/>
        </w:numPr>
        <w:rPr>
          <w:sz w:val="24"/>
          <w:szCs w:val="24"/>
        </w:rPr>
      </w:pPr>
      <w:r>
        <w:rPr>
          <w:sz w:val="24"/>
          <w:szCs w:val="24"/>
        </w:rPr>
        <w:t>Caroline Dadas sat on two committees tasked with reimagining two new Gen Ed core requirements oriented around writing: W</w:t>
      </w:r>
      <w:r>
        <w:rPr>
          <w:sz w:val="24"/>
          <w:szCs w:val="24"/>
        </w:rPr>
        <w:t>ritten Communication and Interactive Communication.</w:t>
      </w:r>
    </w:p>
    <w:p w14:paraId="5EAFDFE7" w14:textId="77777777" w:rsidR="001A5679" w:rsidRDefault="00107FE3">
      <w:pPr>
        <w:numPr>
          <w:ilvl w:val="0"/>
          <w:numId w:val="1"/>
        </w:numPr>
        <w:rPr>
          <w:sz w:val="24"/>
          <w:szCs w:val="24"/>
        </w:rPr>
      </w:pPr>
      <w:r>
        <w:rPr>
          <w:sz w:val="24"/>
          <w:szCs w:val="24"/>
        </w:rPr>
        <w:lastRenderedPageBreak/>
        <w:t xml:space="preserve">In Spring 2022, Liz Martin worked with Sprague Librarian Justin Savage to find an Open-Educational Resource (OER) textbook to replace </w:t>
      </w:r>
      <w:r>
        <w:rPr>
          <w:i/>
          <w:sz w:val="24"/>
          <w:szCs w:val="24"/>
        </w:rPr>
        <w:t>The Norton Field Guide to Writing</w:t>
      </w:r>
      <w:r>
        <w:rPr>
          <w:sz w:val="24"/>
          <w:szCs w:val="24"/>
        </w:rPr>
        <w:t xml:space="preserve"> as the recommended textbook for Coll</w:t>
      </w:r>
      <w:r>
        <w:rPr>
          <w:sz w:val="24"/>
          <w:szCs w:val="24"/>
        </w:rPr>
        <w:t xml:space="preserve">ege Writing I on the common syllabus given to newly hired adjunct faculty. Liz will be running a pilot of the OER textbook, </w:t>
      </w:r>
      <w:hyperlink r:id="rId18">
        <w:r>
          <w:rPr>
            <w:i/>
            <w:color w:val="1155CC"/>
            <w:sz w:val="24"/>
            <w:szCs w:val="24"/>
            <w:u w:val="single"/>
          </w:rPr>
          <w:t>Writing Guide with Handbook</w:t>
        </w:r>
      </w:hyperlink>
      <w:r>
        <w:rPr>
          <w:sz w:val="24"/>
          <w:szCs w:val="24"/>
        </w:rPr>
        <w:t>, in Fall 2022 with existing faculty.</w:t>
      </w:r>
      <w:r>
        <w:rPr>
          <w:sz w:val="24"/>
          <w:szCs w:val="24"/>
        </w:rPr>
        <w:t xml:space="preserve"> </w:t>
      </w:r>
    </w:p>
    <w:p w14:paraId="1C2D919D" w14:textId="77777777" w:rsidR="001A5679" w:rsidRDefault="001A5679">
      <w:pPr>
        <w:spacing w:after="80"/>
        <w:rPr>
          <w:b/>
          <w:sz w:val="24"/>
          <w:szCs w:val="24"/>
        </w:rPr>
      </w:pPr>
    </w:p>
    <w:p w14:paraId="1B37EEB5" w14:textId="77777777" w:rsidR="001A5679" w:rsidRDefault="00107FE3">
      <w:pPr>
        <w:spacing w:after="80"/>
        <w:rPr>
          <w:b/>
          <w:sz w:val="24"/>
          <w:szCs w:val="24"/>
        </w:rPr>
      </w:pPr>
      <w:r>
        <w:rPr>
          <w:b/>
          <w:sz w:val="24"/>
          <w:szCs w:val="24"/>
        </w:rPr>
        <w:t>Program Assessment</w:t>
      </w:r>
    </w:p>
    <w:p w14:paraId="4BCD51D9" w14:textId="77777777" w:rsidR="001A5679" w:rsidRDefault="00107FE3">
      <w:pPr>
        <w:rPr>
          <w:sz w:val="24"/>
          <w:szCs w:val="24"/>
        </w:rPr>
      </w:pPr>
      <w:r>
        <w:rPr>
          <w:sz w:val="24"/>
          <w:szCs w:val="24"/>
        </w:rPr>
        <w:t>The FYW program maintains a rigorous agenda of program assessment. These assessments include routine faculty class observations, student evaluations, program grade data reports by semester, and periodic surveys of faculty opinion on t</w:t>
      </w:r>
      <w:r>
        <w:rPr>
          <w:sz w:val="24"/>
          <w:szCs w:val="24"/>
        </w:rPr>
        <w:t>opics related to program materials (</w:t>
      </w:r>
      <w:proofErr w:type="gramStart"/>
      <w:r>
        <w:rPr>
          <w:sz w:val="24"/>
          <w:szCs w:val="24"/>
        </w:rPr>
        <w:t>i.e.</w:t>
      </w:r>
      <w:proofErr w:type="gramEnd"/>
      <w:r>
        <w:rPr>
          <w:sz w:val="24"/>
          <w:szCs w:val="24"/>
        </w:rPr>
        <w:t xml:space="preserve"> textbooks) and their own classroom experiences (new teaching approaches, professional development needs, assessment of students’ strengths and weaknesses outside of grade performance). The program also conducts asse</w:t>
      </w:r>
      <w:r>
        <w:rPr>
          <w:sz w:val="24"/>
          <w:szCs w:val="24"/>
        </w:rPr>
        <w:t>ssments of any new curricular or programmatic initiatives as needed. This year, we piloted a new approach to adjunct faculty observations where adjuncts established the agenda for a conversation between them and their observer. This approach will be refine</w:t>
      </w:r>
      <w:r>
        <w:rPr>
          <w:sz w:val="24"/>
          <w:szCs w:val="24"/>
        </w:rPr>
        <w:t>d in the coming year.</w:t>
      </w:r>
    </w:p>
    <w:p w14:paraId="1EC9BF3C" w14:textId="77777777" w:rsidR="001A5679" w:rsidRDefault="00107FE3">
      <w:pPr>
        <w:rPr>
          <w:sz w:val="24"/>
          <w:szCs w:val="24"/>
        </w:rPr>
      </w:pPr>
      <w:r>
        <w:rPr>
          <w:sz w:val="24"/>
          <w:szCs w:val="24"/>
        </w:rPr>
        <w:t xml:space="preserve"> </w:t>
      </w:r>
    </w:p>
    <w:p w14:paraId="3CBA2CA0" w14:textId="77777777" w:rsidR="001A5679" w:rsidRDefault="00107FE3">
      <w:pPr>
        <w:rPr>
          <w:sz w:val="24"/>
          <w:szCs w:val="24"/>
        </w:rPr>
      </w:pPr>
      <w:r>
        <w:rPr>
          <w:sz w:val="24"/>
          <w:szCs w:val="24"/>
        </w:rPr>
        <w:t>On the student level, as a program we track performance of our EOF (Educational</w:t>
      </w:r>
    </w:p>
    <w:p w14:paraId="4D4EC912" w14:textId="77777777" w:rsidR="001A5679" w:rsidRDefault="00107FE3">
      <w:pPr>
        <w:rPr>
          <w:sz w:val="24"/>
          <w:szCs w:val="24"/>
        </w:rPr>
      </w:pPr>
      <w:r>
        <w:rPr>
          <w:sz w:val="24"/>
          <w:szCs w:val="24"/>
        </w:rPr>
        <w:t xml:space="preserve">Opportunity Fund) as well as Summer Bridge students (see below), and periodically conduct performance assessments in relation to courses, our placement </w:t>
      </w:r>
      <w:r>
        <w:rPr>
          <w:sz w:val="24"/>
          <w:szCs w:val="24"/>
        </w:rPr>
        <w:t>process, and other relevant needs as they arise. To meet with the unique demands of this academic year, an 8-week half-term WRIT 105 class was added in Spring 2022.</w:t>
      </w:r>
    </w:p>
    <w:p w14:paraId="6284944C" w14:textId="77777777" w:rsidR="001A5679" w:rsidRDefault="001A5679">
      <w:pPr>
        <w:rPr>
          <w:sz w:val="24"/>
          <w:szCs w:val="24"/>
        </w:rPr>
      </w:pPr>
    </w:p>
    <w:p w14:paraId="133A22DF" w14:textId="77777777" w:rsidR="001A5679" w:rsidRDefault="00107FE3">
      <w:pPr>
        <w:rPr>
          <w:sz w:val="24"/>
          <w:szCs w:val="24"/>
        </w:rPr>
      </w:pPr>
      <w:r>
        <w:rPr>
          <w:sz w:val="24"/>
          <w:szCs w:val="24"/>
        </w:rPr>
        <w:t xml:space="preserve"> </w:t>
      </w:r>
    </w:p>
    <w:p w14:paraId="385870C5" w14:textId="77777777" w:rsidR="001A5679" w:rsidRDefault="00107FE3">
      <w:pPr>
        <w:spacing w:after="80"/>
        <w:rPr>
          <w:b/>
          <w:sz w:val="24"/>
          <w:szCs w:val="24"/>
        </w:rPr>
      </w:pPr>
      <w:r>
        <w:rPr>
          <w:b/>
          <w:sz w:val="24"/>
          <w:szCs w:val="24"/>
        </w:rPr>
        <w:t xml:space="preserve"> Ongoing program initiatives</w:t>
      </w:r>
    </w:p>
    <w:p w14:paraId="33EB1267" w14:textId="77777777" w:rsidR="001A5679" w:rsidRDefault="00107FE3">
      <w:pPr>
        <w:spacing w:after="80"/>
        <w:rPr>
          <w:sz w:val="24"/>
          <w:szCs w:val="24"/>
        </w:rPr>
      </w:pPr>
      <w:r>
        <w:rPr>
          <w:sz w:val="24"/>
          <w:szCs w:val="24"/>
        </w:rPr>
        <w:t>To promote a culture of writing, the FYW program maintains several ongoing initiatives that provide support and community for faculty:</w:t>
      </w:r>
    </w:p>
    <w:p w14:paraId="5C2DD547" w14:textId="77777777" w:rsidR="001A5679" w:rsidRDefault="001A5679">
      <w:pPr>
        <w:spacing w:after="80"/>
        <w:ind w:left="720"/>
        <w:rPr>
          <w:sz w:val="24"/>
          <w:szCs w:val="24"/>
        </w:rPr>
      </w:pPr>
    </w:p>
    <w:p w14:paraId="655BF928" w14:textId="77777777" w:rsidR="001A5679" w:rsidRDefault="00107FE3">
      <w:pPr>
        <w:numPr>
          <w:ilvl w:val="0"/>
          <w:numId w:val="6"/>
        </w:numPr>
        <w:rPr>
          <w:sz w:val="24"/>
          <w:szCs w:val="24"/>
        </w:rPr>
      </w:pPr>
      <w:r>
        <w:rPr>
          <w:sz w:val="24"/>
          <w:szCs w:val="24"/>
        </w:rPr>
        <w:t xml:space="preserve">Deep Down in the Classroom blog: Started and maintained by </w:t>
      </w:r>
      <w:proofErr w:type="spellStart"/>
      <w:r>
        <w:rPr>
          <w:sz w:val="24"/>
          <w:szCs w:val="24"/>
        </w:rPr>
        <w:t>Shil</w:t>
      </w:r>
      <w:proofErr w:type="spellEnd"/>
      <w:r>
        <w:rPr>
          <w:sz w:val="24"/>
          <w:szCs w:val="24"/>
        </w:rPr>
        <w:t xml:space="preserve"> Sen, this project offers a way for instructors to share </w:t>
      </w:r>
      <w:r>
        <w:rPr>
          <w:sz w:val="24"/>
          <w:szCs w:val="24"/>
        </w:rPr>
        <w:t xml:space="preserve">pedagogical ideas in a more informal setting. This year the blog has added interviews with faculty as well as a monthly FYW newsletter. The blog can be found at: </w:t>
      </w:r>
      <w:hyperlink r:id="rId19">
        <w:r>
          <w:rPr>
            <w:color w:val="1155CC"/>
            <w:sz w:val="24"/>
            <w:szCs w:val="24"/>
            <w:u w:val="single"/>
          </w:rPr>
          <w:t>https://msufywblog.wordpress.com/</w:t>
        </w:r>
      </w:hyperlink>
    </w:p>
    <w:p w14:paraId="147250BF" w14:textId="77777777" w:rsidR="001A5679" w:rsidRDefault="00107FE3">
      <w:pPr>
        <w:numPr>
          <w:ilvl w:val="0"/>
          <w:numId w:val="6"/>
        </w:numPr>
        <w:rPr>
          <w:sz w:val="24"/>
          <w:szCs w:val="24"/>
        </w:rPr>
      </w:pPr>
      <w:r>
        <w:rPr>
          <w:sz w:val="24"/>
          <w:szCs w:val="24"/>
        </w:rPr>
        <w:t>Mentori</w:t>
      </w:r>
      <w:r>
        <w:rPr>
          <w:sz w:val="24"/>
          <w:szCs w:val="24"/>
        </w:rPr>
        <w:t>ng program: All new instructors in the program are paired with a more experienced teacher at the beginning of the year. Pairs are encouraged to meet during the course of the semester and problem-solve any issues that the new faculty member may be facing in</w:t>
      </w:r>
      <w:r>
        <w:rPr>
          <w:sz w:val="24"/>
          <w:szCs w:val="24"/>
        </w:rPr>
        <w:t xml:space="preserve"> the classroom.  </w:t>
      </w:r>
    </w:p>
    <w:p w14:paraId="0090615E" w14:textId="77777777" w:rsidR="001A5679" w:rsidRDefault="00107FE3">
      <w:pPr>
        <w:numPr>
          <w:ilvl w:val="0"/>
          <w:numId w:val="6"/>
        </w:numPr>
        <w:spacing w:after="80"/>
        <w:rPr>
          <w:sz w:val="24"/>
          <w:szCs w:val="24"/>
        </w:rPr>
      </w:pPr>
      <w:hyperlink r:id="rId20">
        <w:r>
          <w:rPr>
            <w:color w:val="1155CC"/>
            <w:sz w:val="24"/>
            <w:szCs w:val="24"/>
            <w:u w:val="single"/>
          </w:rPr>
          <w:t>Summer Bridge Program</w:t>
        </w:r>
      </w:hyperlink>
      <w:r>
        <w:rPr>
          <w:sz w:val="24"/>
          <w:szCs w:val="24"/>
        </w:rPr>
        <w:t>: Added by the university in Summer 2021 and running again in Summer 2022, the Summer Bridge program gives eligible incoming first year st</w:t>
      </w:r>
      <w:r>
        <w:rPr>
          <w:sz w:val="24"/>
          <w:szCs w:val="24"/>
        </w:rPr>
        <w:t xml:space="preserve">udents the opportunity to take up to </w:t>
      </w:r>
      <w:proofErr w:type="gramStart"/>
      <w:r>
        <w:rPr>
          <w:sz w:val="24"/>
          <w:szCs w:val="24"/>
        </w:rPr>
        <w:t>7 degree</w:t>
      </w:r>
      <w:proofErr w:type="gramEnd"/>
      <w:r>
        <w:rPr>
          <w:sz w:val="24"/>
          <w:szCs w:val="24"/>
        </w:rPr>
        <w:t xml:space="preserve"> credits for free.  In Summer 2021 the department staffed 31 Sections of WRIT 105; for Summer 2022, there are currently 18 sections of WRIT 105 being offered. Like EOF, Summer Bridge includes embedded tutors, an</w:t>
      </w:r>
      <w:r>
        <w:rPr>
          <w:sz w:val="24"/>
          <w:szCs w:val="24"/>
        </w:rPr>
        <w:t>d this summer, Summer Bridge students will be required to meet with tutors for a tutoring session after every class meeting.</w:t>
      </w:r>
    </w:p>
    <w:p w14:paraId="3DF40C8B" w14:textId="77777777" w:rsidR="001A5679" w:rsidRDefault="001A5679">
      <w:pPr>
        <w:rPr>
          <w:sz w:val="24"/>
          <w:szCs w:val="24"/>
        </w:rPr>
      </w:pPr>
    </w:p>
    <w:p w14:paraId="56920F95" w14:textId="77777777" w:rsidR="001A5679" w:rsidRDefault="001A5679">
      <w:pPr>
        <w:rPr>
          <w:sz w:val="24"/>
          <w:szCs w:val="24"/>
        </w:rPr>
      </w:pPr>
    </w:p>
    <w:p w14:paraId="3C6C9953" w14:textId="77777777" w:rsidR="001A5679" w:rsidRDefault="00107FE3">
      <w:pPr>
        <w:rPr>
          <w:b/>
          <w:sz w:val="24"/>
          <w:szCs w:val="24"/>
        </w:rPr>
      </w:pPr>
      <w:r>
        <w:rPr>
          <w:b/>
          <w:sz w:val="24"/>
          <w:szCs w:val="24"/>
        </w:rPr>
        <w:t>Moving forward:</w:t>
      </w:r>
    </w:p>
    <w:p w14:paraId="2D42E8F5" w14:textId="77777777" w:rsidR="001A5679" w:rsidRDefault="001A5679">
      <w:pPr>
        <w:widowControl w:val="0"/>
        <w:ind w:left="144"/>
        <w:rPr>
          <w:sz w:val="24"/>
          <w:szCs w:val="24"/>
        </w:rPr>
      </w:pPr>
    </w:p>
    <w:p w14:paraId="7AEFD6BE" w14:textId="77777777" w:rsidR="001A5679" w:rsidRDefault="00107FE3">
      <w:pPr>
        <w:numPr>
          <w:ilvl w:val="0"/>
          <w:numId w:val="5"/>
        </w:numPr>
        <w:spacing w:line="280" w:lineRule="auto"/>
        <w:rPr>
          <w:sz w:val="24"/>
          <w:szCs w:val="24"/>
        </w:rPr>
      </w:pPr>
      <w:r>
        <w:rPr>
          <w:sz w:val="24"/>
          <w:szCs w:val="24"/>
        </w:rPr>
        <w:t>Newark Bridge Program:</w:t>
      </w:r>
      <w:r>
        <w:rPr>
          <w:color w:val="222222"/>
          <w:highlight w:val="white"/>
        </w:rPr>
        <w:t xml:space="preserve"> </w:t>
      </w:r>
      <w:r>
        <w:rPr>
          <w:sz w:val="24"/>
          <w:szCs w:val="24"/>
        </w:rPr>
        <w:t xml:space="preserve">This new initiative is a collaboration between the Provost's Office/Special Programs and </w:t>
      </w:r>
      <w:r>
        <w:rPr>
          <w:sz w:val="24"/>
          <w:szCs w:val="24"/>
        </w:rPr>
        <w:t>the Newark Board of Education.  This program will include a cohort of high achieving High School Seniors who will take WRIT 105 in the Fall. Currently, the department will run 3 sections of WRIT 105 for Newark Bridge Students. All sections are SON (synchro</w:t>
      </w:r>
      <w:r>
        <w:rPr>
          <w:sz w:val="24"/>
          <w:szCs w:val="24"/>
        </w:rPr>
        <w:t>nous online) classes.  For the inaugural classes, one section will be taught by Dr. Jackie Regan (Instructional Specialist); the other two sections will be taught by Dr. Shelagh Patterson (Instructional Specialist).</w:t>
      </w:r>
    </w:p>
    <w:p w14:paraId="5E0E2BC3" w14:textId="77777777" w:rsidR="001A5679" w:rsidRDefault="00107FE3">
      <w:pPr>
        <w:numPr>
          <w:ilvl w:val="0"/>
          <w:numId w:val="5"/>
        </w:numPr>
        <w:spacing w:after="160" w:line="280" w:lineRule="auto"/>
        <w:rPr>
          <w:sz w:val="24"/>
          <w:szCs w:val="24"/>
        </w:rPr>
      </w:pPr>
      <w:r>
        <w:rPr>
          <w:sz w:val="24"/>
          <w:szCs w:val="24"/>
        </w:rPr>
        <w:t xml:space="preserve">We will continue to assess the efficacy </w:t>
      </w:r>
      <w:r>
        <w:rPr>
          <w:sz w:val="24"/>
          <w:szCs w:val="24"/>
        </w:rPr>
        <w:t xml:space="preserve">of the </w:t>
      </w:r>
      <w:proofErr w:type="gramStart"/>
      <w:r>
        <w:rPr>
          <w:sz w:val="24"/>
          <w:szCs w:val="24"/>
        </w:rPr>
        <w:t>labor based</w:t>
      </w:r>
      <w:proofErr w:type="gramEnd"/>
      <w:r>
        <w:rPr>
          <w:sz w:val="24"/>
          <w:szCs w:val="24"/>
        </w:rPr>
        <w:t xml:space="preserve"> contract grading approach.</w:t>
      </w:r>
    </w:p>
    <w:p w14:paraId="60B1B1AD" w14:textId="77777777" w:rsidR="001A5679" w:rsidRDefault="001A5679">
      <w:pPr>
        <w:rPr>
          <w:sz w:val="24"/>
          <w:szCs w:val="24"/>
        </w:rPr>
      </w:pPr>
    </w:p>
    <w:p w14:paraId="1BFA31E3" w14:textId="77777777" w:rsidR="001A5679" w:rsidRDefault="00107FE3">
      <w:pPr>
        <w:rPr>
          <w:b/>
          <w:sz w:val="24"/>
          <w:szCs w:val="24"/>
        </w:rPr>
      </w:pPr>
      <w:r>
        <w:rPr>
          <w:b/>
          <w:sz w:val="24"/>
          <w:szCs w:val="24"/>
        </w:rPr>
        <w:t xml:space="preserve"> </w:t>
      </w:r>
    </w:p>
    <w:p w14:paraId="6858847D" w14:textId="77777777" w:rsidR="001A5679" w:rsidRDefault="001A5679">
      <w:pPr>
        <w:widowControl w:val="0"/>
        <w:ind w:left="144"/>
        <w:rPr>
          <w:b/>
          <w:sz w:val="24"/>
          <w:szCs w:val="24"/>
        </w:rPr>
      </w:pPr>
    </w:p>
    <w:p w14:paraId="26DFA400" w14:textId="77777777" w:rsidR="001A5679" w:rsidRDefault="00107FE3">
      <w:pPr>
        <w:rPr>
          <w:sz w:val="24"/>
          <w:szCs w:val="24"/>
        </w:rPr>
      </w:pPr>
      <w:r>
        <w:rPr>
          <w:sz w:val="24"/>
          <w:szCs w:val="24"/>
        </w:rPr>
        <w:t xml:space="preserve">*Report compiled by Christine </w:t>
      </w:r>
      <w:proofErr w:type="spellStart"/>
      <w:r>
        <w:rPr>
          <w:sz w:val="24"/>
          <w:szCs w:val="24"/>
        </w:rPr>
        <w:t>Giancatarino</w:t>
      </w:r>
      <w:proofErr w:type="spellEnd"/>
      <w:r>
        <w:rPr>
          <w:sz w:val="24"/>
          <w:szCs w:val="24"/>
        </w:rPr>
        <w:t xml:space="preserve">, Liz Martin, and Caroline Dadas </w:t>
      </w:r>
    </w:p>
    <w:p w14:paraId="6CA35FC0" w14:textId="77777777" w:rsidR="001A5679" w:rsidRDefault="001A5679">
      <w:pPr>
        <w:rPr>
          <w:sz w:val="24"/>
          <w:szCs w:val="24"/>
        </w:rPr>
      </w:pPr>
    </w:p>
    <w:p w14:paraId="529D3B17" w14:textId="77777777" w:rsidR="001A5679" w:rsidRDefault="001A5679">
      <w:pPr>
        <w:rPr>
          <w:sz w:val="24"/>
          <w:szCs w:val="24"/>
        </w:rPr>
      </w:pPr>
    </w:p>
    <w:p w14:paraId="74F0C262" w14:textId="77777777" w:rsidR="001A5679" w:rsidRDefault="00107FE3">
      <w:pPr>
        <w:rPr>
          <w:sz w:val="24"/>
          <w:szCs w:val="24"/>
        </w:rPr>
      </w:pPr>
      <w:r>
        <w:rPr>
          <w:sz w:val="24"/>
          <w:szCs w:val="24"/>
        </w:rPr>
        <w:t xml:space="preserve"> </w:t>
      </w:r>
    </w:p>
    <w:p w14:paraId="535E326B" w14:textId="77777777" w:rsidR="001A5679" w:rsidRDefault="00107FE3">
      <w:pPr>
        <w:rPr>
          <w:sz w:val="24"/>
          <w:szCs w:val="24"/>
        </w:rPr>
      </w:pPr>
      <w:r>
        <w:rPr>
          <w:sz w:val="24"/>
          <w:szCs w:val="24"/>
        </w:rPr>
        <w:t xml:space="preserve"> </w:t>
      </w:r>
    </w:p>
    <w:p w14:paraId="5FC126C9" w14:textId="77777777" w:rsidR="001A5679" w:rsidRDefault="001A5679">
      <w:pPr>
        <w:rPr>
          <w:sz w:val="24"/>
          <w:szCs w:val="24"/>
        </w:rPr>
      </w:pPr>
    </w:p>
    <w:p w14:paraId="0FF9C6C9" w14:textId="77777777" w:rsidR="001A5679" w:rsidRDefault="00107FE3">
      <w:pPr>
        <w:rPr>
          <w:sz w:val="24"/>
          <w:szCs w:val="24"/>
        </w:rPr>
      </w:pPr>
      <w:r>
        <w:rPr>
          <w:sz w:val="24"/>
          <w:szCs w:val="24"/>
        </w:rPr>
        <w:t xml:space="preserve"> </w:t>
      </w:r>
    </w:p>
    <w:p w14:paraId="7C4BD7B8" w14:textId="77777777" w:rsidR="001A5679" w:rsidRDefault="001A5679"/>
    <w:p w14:paraId="049FB1B9" w14:textId="77777777" w:rsidR="001A5679" w:rsidRDefault="001A5679"/>
    <w:p w14:paraId="7D71ADB1" w14:textId="77777777" w:rsidR="001A5679" w:rsidRDefault="001A5679"/>
    <w:p w14:paraId="0D2154F1" w14:textId="77777777" w:rsidR="001A5679" w:rsidRDefault="001A5679"/>
    <w:sectPr w:rsidR="001A5679">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0AC8" w14:textId="77777777" w:rsidR="00107FE3" w:rsidRDefault="00107FE3">
      <w:pPr>
        <w:spacing w:line="240" w:lineRule="auto"/>
      </w:pPr>
      <w:r>
        <w:separator/>
      </w:r>
    </w:p>
  </w:endnote>
  <w:endnote w:type="continuationSeparator" w:id="0">
    <w:p w14:paraId="59F00A39" w14:textId="77777777" w:rsidR="00107FE3" w:rsidRDefault="00107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B8A3" w14:textId="77777777" w:rsidR="00107FE3" w:rsidRDefault="00107FE3">
      <w:pPr>
        <w:spacing w:line="240" w:lineRule="auto"/>
      </w:pPr>
      <w:r>
        <w:separator/>
      </w:r>
    </w:p>
  </w:footnote>
  <w:footnote w:type="continuationSeparator" w:id="0">
    <w:p w14:paraId="33E1FCE8" w14:textId="77777777" w:rsidR="00107FE3" w:rsidRDefault="00107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1D7C" w14:textId="77777777" w:rsidR="001A5679" w:rsidRDefault="001A56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44B5"/>
    <w:multiLevelType w:val="multilevel"/>
    <w:tmpl w:val="11B4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80AEE"/>
    <w:multiLevelType w:val="multilevel"/>
    <w:tmpl w:val="159A3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D27F7"/>
    <w:multiLevelType w:val="multilevel"/>
    <w:tmpl w:val="D0E69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4877E8"/>
    <w:multiLevelType w:val="multilevel"/>
    <w:tmpl w:val="80A2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753A4D"/>
    <w:multiLevelType w:val="multilevel"/>
    <w:tmpl w:val="D7905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555E21"/>
    <w:multiLevelType w:val="multilevel"/>
    <w:tmpl w:val="C798B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E9192B"/>
    <w:multiLevelType w:val="multilevel"/>
    <w:tmpl w:val="77463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79"/>
    <w:rsid w:val="00107FE3"/>
    <w:rsid w:val="001A5679"/>
    <w:rsid w:val="0085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3A3D8"/>
  <w15:docId w15:val="{C47D372A-F7D7-C04F-A4D4-6BB1FC6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openstax.org/details/books/writing-gui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montclair.instructure.com/courses/13858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montclair.edu/admissions/summer-bridge-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msufywblog.wordpres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google.com/presentation/d/12716yhT5o71w9QmngkS6GkN-c_xTa9ktWGxhR5m4Eng/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3174</Words>
  <Characters>18094</Characters>
  <Application>Microsoft Office Word</Application>
  <DocSecurity>0</DocSecurity>
  <Lines>150</Lines>
  <Paragraphs>42</Paragraphs>
  <ScaleCrop>false</ScaleCrop>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2022-06-02T00:22:00Z</dcterms:created>
  <dcterms:modified xsi:type="dcterms:W3CDTF">2022-06-02T00:22:00Z</dcterms:modified>
</cp:coreProperties>
</file>